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3E7B9" w14:textId="72A7BFD5" w:rsidR="00D74C77" w:rsidRDefault="00D74C77" w:rsidP="00C92E8F">
      <w:pPr>
        <w:shd w:val="clear" w:color="auto" w:fill="1F4E79" w:themeFill="accent5" w:themeFillShade="80"/>
        <w:rPr>
          <w:noProof/>
        </w:rPr>
      </w:pPr>
    </w:p>
    <w:p w14:paraId="5A8F5E03" w14:textId="2A763EA2" w:rsidR="00D74C77" w:rsidRDefault="00D74C77" w:rsidP="00C92E8F">
      <w:pPr>
        <w:shd w:val="clear" w:color="auto" w:fill="1F4E79" w:themeFill="accent5" w:themeFillShade="80"/>
        <w:rPr>
          <w:noProof/>
        </w:rPr>
      </w:pPr>
    </w:p>
    <w:p w14:paraId="7CF6499F" w14:textId="4232EC80" w:rsidR="00D74C77" w:rsidRDefault="00D74C77" w:rsidP="00C92E8F">
      <w:pPr>
        <w:shd w:val="clear" w:color="auto" w:fill="1F4E79" w:themeFill="accent5" w:themeFillShade="80"/>
        <w:rPr>
          <w:noProof/>
        </w:rPr>
      </w:pPr>
    </w:p>
    <w:p w14:paraId="71EBC620" w14:textId="399C74A0" w:rsidR="00897AA7" w:rsidRDefault="00897AA7" w:rsidP="00C92E8F">
      <w:pPr>
        <w:shd w:val="clear" w:color="auto" w:fill="1F4E79" w:themeFill="accent5" w:themeFillShade="80"/>
        <w:rPr>
          <w:color w:val="FFFFFF" w:themeColor="background1"/>
        </w:rPr>
      </w:pPr>
      <w:r>
        <w:rPr>
          <w:noProof/>
        </w:rPr>
        <w:drawing>
          <wp:anchor distT="0" distB="0" distL="114300" distR="114300" simplePos="0" relativeHeight="251658240" behindDoc="0" locked="0" layoutInCell="1" allowOverlap="1" wp14:anchorId="3878DE94" wp14:editId="5D1E4F89">
            <wp:simplePos x="0" y="0"/>
            <wp:positionH relativeFrom="column">
              <wp:posOffset>1905</wp:posOffset>
            </wp:positionH>
            <wp:positionV relativeFrom="paragraph">
              <wp:posOffset>-1270</wp:posOffset>
            </wp:positionV>
            <wp:extent cx="5400040" cy="3489325"/>
            <wp:effectExtent l="0" t="0" r="0" b="0"/>
            <wp:wrapTopAndBottom/>
            <wp:docPr id="1" name="Imagen 1"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Texto, Aplicación, Correo electrónico&#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5400040" cy="3489325"/>
                    </a:xfrm>
                    <a:prstGeom prst="rect">
                      <a:avLst/>
                    </a:prstGeom>
                  </pic:spPr>
                </pic:pic>
              </a:graphicData>
            </a:graphic>
            <wp14:sizeRelH relativeFrom="page">
              <wp14:pctWidth>0</wp14:pctWidth>
            </wp14:sizeRelH>
            <wp14:sizeRelV relativeFrom="page">
              <wp14:pctHeight>0</wp14:pctHeight>
            </wp14:sizeRelV>
          </wp:anchor>
        </w:drawing>
      </w:r>
    </w:p>
    <w:p w14:paraId="0C516B4A" w14:textId="0D1FB12E" w:rsidR="00C92E8F" w:rsidRPr="00C92E8F" w:rsidRDefault="00C92E8F" w:rsidP="00C92E8F">
      <w:pPr>
        <w:shd w:val="clear" w:color="auto" w:fill="1F4E79" w:themeFill="accent5" w:themeFillShade="80"/>
        <w:rPr>
          <w:color w:val="FFFFFF" w:themeColor="background1"/>
        </w:rPr>
      </w:pPr>
      <w:r>
        <w:rPr>
          <w:color w:val="FFFFFF" w:themeColor="background1"/>
        </w:rPr>
        <w:t>LEY 6380</w:t>
      </w:r>
      <w:r w:rsidRPr="00C92E8F">
        <w:rPr>
          <w:color w:val="FFFFFF" w:themeColor="background1"/>
        </w:rPr>
        <w:t>/19</w:t>
      </w:r>
    </w:p>
    <w:p w14:paraId="658ED0A3" w14:textId="77777777" w:rsidR="00C92E8F" w:rsidRPr="00C92E8F" w:rsidRDefault="00C92E8F" w:rsidP="00C92E8F">
      <w:pPr>
        <w:rPr>
          <w:b/>
          <w:bCs/>
        </w:rPr>
      </w:pPr>
      <w:r w:rsidRPr="00C92E8F">
        <w:rPr>
          <w:b/>
          <w:bCs/>
        </w:rPr>
        <w:t>Artículo 24.- Anticipos y Retenciones.</w:t>
      </w:r>
    </w:p>
    <w:p w14:paraId="32E6F207" w14:textId="77777777" w:rsidR="00C92E8F" w:rsidRDefault="00C92E8F" w:rsidP="00C92E8F">
      <w:pPr>
        <w:jc w:val="both"/>
      </w:pPr>
      <w:r>
        <w:t xml:space="preserve">Facúltese a la Administración Tributaria a exigir en el </w:t>
      </w:r>
      <w:r w:rsidRPr="00C92E8F">
        <w:rPr>
          <w:b/>
          <w:bCs/>
        </w:rPr>
        <w:t>transcurso del ejercicio, retenciones o pagos con carácter de anticipos en concepto de pago a cuenta del IRE</w:t>
      </w:r>
      <w:r>
        <w:t xml:space="preserve"> que corresponda tributar al finalizar el mismo, los que no podrán superar el monto promedio del impuesto determinado en los tres últimos ejercicios.</w:t>
      </w:r>
    </w:p>
    <w:p w14:paraId="2EDC02B6" w14:textId="53D9BA69" w:rsidR="00C92E8F" w:rsidRDefault="00C92E8F" w:rsidP="00C92E8F">
      <w:pPr>
        <w:jc w:val="both"/>
      </w:pPr>
      <w:r>
        <w:t>Cuando el monto anticipado supere el impuesto liquidado, se procederá a la compensación de oficio contra el mismo impuesto de ejercicios futuros, y a pedido de parte contra el mismo impuesto en el caso de ajustes en ejercicios fiscales anteriores, en la forma y condiciones que establezca la Administración Tributaria.</w:t>
      </w:r>
    </w:p>
    <w:p w14:paraId="62D12B21" w14:textId="77777777" w:rsidR="00C92E8F" w:rsidRDefault="00C92E8F" w:rsidP="00C92E8F">
      <w:pPr>
        <w:jc w:val="both"/>
      </w:pPr>
    </w:p>
    <w:p w14:paraId="75706484" w14:textId="759017C2" w:rsidR="00C92E8F" w:rsidRPr="00C92E8F" w:rsidRDefault="00C92E8F" w:rsidP="00C92E8F">
      <w:pPr>
        <w:shd w:val="clear" w:color="auto" w:fill="1F4E79" w:themeFill="accent5" w:themeFillShade="80"/>
        <w:rPr>
          <w:color w:val="FFFFFF" w:themeColor="background1"/>
        </w:rPr>
      </w:pPr>
      <w:r w:rsidRPr="00C92E8F">
        <w:rPr>
          <w:color w:val="FFFFFF" w:themeColor="background1"/>
        </w:rPr>
        <w:t>DECRETO 3182/19</w:t>
      </w:r>
    </w:p>
    <w:p w14:paraId="7903C0BB" w14:textId="77777777" w:rsidR="00C92E8F" w:rsidRPr="00C92E8F" w:rsidRDefault="00C92E8F" w:rsidP="00C92E8F">
      <w:pPr>
        <w:rPr>
          <w:b/>
          <w:bCs/>
          <w:u w:val="single"/>
        </w:rPr>
      </w:pPr>
      <w:r w:rsidRPr="00C92E8F">
        <w:rPr>
          <w:b/>
          <w:bCs/>
          <w:u w:val="single"/>
        </w:rPr>
        <w:t>Artículo 88.- Anticipo en la Enajenación de Ganado Vacuno.</w:t>
      </w:r>
    </w:p>
    <w:p w14:paraId="2005C7C9" w14:textId="77777777" w:rsidR="00C92E8F" w:rsidRPr="00C92E8F" w:rsidRDefault="00C92E8F" w:rsidP="00C92E8F">
      <w:pPr>
        <w:jc w:val="both"/>
        <w:rPr>
          <w:b/>
          <w:bCs/>
          <w:color w:val="FF0000"/>
          <w:u w:val="single"/>
        </w:rPr>
      </w:pPr>
      <w:r>
        <w:t xml:space="preserve">La Administración Tributaria </w:t>
      </w:r>
      <w:r w:rsidRPr="00C92E8F">
        <w:rPr>
          <w:b/>
          <w:bCs/>
        </w:rPr>
        <w:t>podrá designar como agentes de retención a los frigoríficos, ferias de ganado y otras entidades</w:t>
      </w:r>
      <w:r>
        <w:t xml:space="preserve">, en todas las ocasiones </w:t>
      </w:r>
      <w:r w:rsidRPr="00C92E8F">
        <w:rPr>
          <w:b/>
          <w:bCs/>
          <w:color w:val="FF0000"/>
          <w:u w:val="single"/>
        </w:rPr>
        <w:t>en que los contribuyentes del IRE RG o SIMPLE actúen como proveedores de ganado vacuno en pie al momento de la adquisición de dichos bienes.</w:t>
      </w:r>
    </w:p>
    <w:p w14:paraId="18CE3B9F" w14:textId="77777777" w:rsidR="00C92E8F" w:rsidRDefault="00C92E8F" w:rsidP="00C92E8F">
      <w:r>
        <w:t xml:space="preserve">La retención se realizará sobre el monto que resulte de aplicar el cero coma cuatro por ciento </w:t>
      </w:r>
      <w:r w:rsidRPr="00C92E8F">
        <w:rPr>
          <w:b/>
          <w:bCs/>
          <w:u w:val="single"/>
        </w:rPr>
        <w:t>(0,4%) que será calculado sobre el precio de la enajenación de dichos bienes, excluido el IVA</w:t>
      </w:r>
      <w:r>
        <w:t>.</w:t>
      </w:r>
    </w:p>
    <w:p w14:paraId="3AD1EED2" w14:textId="77777777" w:rsidR="00C92E8F" w:rsidRPr="00C92E8F" w:rsidRDefault="00C92E8F" w:rsidP="00C92E8F">
      <w:pPr>
        <w:rPr>
          <w:b/>
          <w:bCs/>
          <w:color w:val="FF0000"/>
        </w:rPr>
      </w:pPr>
      <w:r w:rsidRPr="00C92E8F">
        <w:rPr>
          <w:b/>
          <w:bCs/>
          <w:color w:val="FF0000"/>
        </w:rPr>
        <w:t>El importe retenido deberá ser imputado como anticipo del presente Impuesto.</w:t>
      </w:r>
    </w:p>
    <w:p w14:paraId="22C3C0A3" w14:textId="77777777" w:rsidR="00C92E8F" w:rsidRDefault="00C92E8F" w:rsidP="00C92E8F">
      <w:pPr>
        <w:jc w:val="both"/>
      </w:pPr>
      <w:r>
        <w:lastRenderedPageBreak/>
        <w:t>El Agente de Retención designado deberá emitir el comprobante de retención, utilizando el software o programa informático proveído por la Administración Tributaria, el cual deberá ser entregado al contribuyente enajenante.</w:t>
      </w:r>
    </w:p>
    <w:p w14:paraId="4AC1F898" w14:textId="77777777" w:rsidR="00C92E8F" w:rsidRDefault="00C92E8F" w:rsidP="00C92E8F">
      <w:pPr>
        <w:jc w:val="both"/>
      </w:pPr>
      <w:r>
        <w:t>El Agente de retención deberá ingresar el monto de las retenciones al mes siguiente en que se practicaron, en las formas y condiciones que determine la Administración Tributaria. Si el vencimiento del plazo para el pago de esta obligación ocurre un día inhábil, aquel deberá cumplirse en el primer día hábil siguiente.</w:t>
      </w:r>
    </w:p>
    <w:p w14:paraId="2DBD97F8" w14:textId="77777777" w:rsidR="00C92E8F" w:rsidRPr="00C92E8F" w:rsidRDefault="00C92E8F" w:rsidP="00C92E8F">
      <w:pPr>
        <w:rPr>
          <w:sz w:val="18"/>
          <w:szCs w:val="18"/>
        </w:rPr>
      </w:pPr>
      <w:r w:rsidRPr="00C92E8F">
        <w:rPr>
          <w:sz w:val="18"/>
          <w:szCs w:val="18"/>
        </w:rPr>
        <w:t>Reglamenta a:</w:t>
      </w:r>
    </w:p>
    <w:p w14:paraId="5D7BD7BD" w14:textId="77777777" w:rsidR="00C92E8F" w:rsidRPr="00C92E8F" w:rsidRDefault="00C92E8F" w:rsidP="00C92E8F">
      <w:pPr>
        <w:rPr>
          <w:sz w:val="18"/>
          <w:szCs w:val="18"/>
        </w:rPr>
      </w:pPr>
      <w:r w:rsidRPr="00C92E8F">
        <w:rPr>
          <w:sz w:val="18"/>
          <w:szCs w:val="18"/>
        </w:rPr>
        <w:t xml:space="preserve">Ley </w:t>
      </w:r>
      <w:proofErr w:type="spellStart"/>
      <w:r w:rsidRPr="00C92E8F">
        <w:rPr>
          <w:sz w:val="18"/>
          <w:szCs w:val="18"/>
        </w:rPr>
        <w:t>N°</w:t>
      </w:r>
      <w:proofErr w:type="spellEnd"/>
      <w:r w:rsidRPr="00C92E8F">
        <w:rPr>
          <w:sz w:val="18"/>
          <w:szCs w:val="18"/>
        </w:rPr>
        <w:t xml:space="preserve"> 6.380/2019 Artículo 23, Artículo 24.</w:t>
      </w:r>
    </w:p>
    <w:p w14:paraId="54965406" w14:textId="77777777" w:rsidR="00C92E8F" w:rsidRPr="00C92E8F" w:rsidRDefault="00C92E8F" w:rsidP="00C92E8F">
      <w:pPr>
        <w:rPr>
          <w:sz w:val="18"/>
          <w:szCs w:val="18"/>
        </w:rPr>
      </w:pPr>
      <w:r w:rsidRPr="00C92E8F">
        <w:rPr>
          <w:sz w:val="18"/>
          <w:szCs w:val="18"/>
        </w:rPr>
        <w:t>Reglamentado por:</w:t>
      </w:r>
    </w:p>
    <w:p w14:paraId="26223AE1" w14:textId="77777777" w:rsidR="00C92E8F" w:rsidRPr="00C92E8F" w:rsidRDefault="00C92E8F" w:rsidP="00C92E8F">
      <w:pPr>
        <w:rPr>
          <w:sz w:val="18"/>
          <w:szCs w:val="18"/>
        </w:rPr>
      </w:pPr>
      <w:r w:rsidRPr="00C92E8F">
        <w:rPr>
          <w:sz w:val="18"/>
          <w:szCs w:val="18"/>
        </w:rPr>
        <w:t xml:space="preserve">Resolución Gral. </w:t>
      </w:r>
      <w:proofErr w:type="spellStart"/>
      <w:r w:rsidRPr="00C92E8F">
        <w:rPr>
          <w:sz w:val="18"/>
          <w:szCs w:val="18"/>
        </w:rPr>
        <w:t>Nº</w:t>
      </w:r>
      <w:proofErr w:type="spellEnd"/>
      <w:r w:rsidRPr="00C92E8F">
        <w:rPr>
          <w:sz w:val="18"/>
          <w:szCs w:val="18"/>
        </w:rPr>
        <w:t xml:space="preserve"> 71/2020 Artículo 1º.</w:t>
      </w:r>
    </w:p>
    <w:p w14:paraId="25C48F7D" w14:textId="77777777" w:rsidR="00C92E8F" w:rsidRDefault="00C92E8F" w:rsidP="00C92E8F">
      <w:pPr>
        <w:rPr>
          <w:b/>
          <w:bCs/>
          <w:u w:val="single"/>
        </w:rPr>
      </w:pPr>
    </w:p>
    <w:p w14:paraId="13BD3EF7" w14:textId="6357437A" w:rsidR="00C92E8F" w:rsidRPr="00C92E8F" w:rsidRDefault="00C92E8F" w:rsidP="00C92E8F">
      <w:pPr>
        <w:rPr>
          <w:b/>
          <w:bCs/>
          <w:u w:val="single"/>
        </w:rPr>
      </w:pPr>
      <w:r w:rsidRPr="00C92E8F">
        <w:rPr>
          <w:b/>
          <w:bCs/>
          <w:u w:val="single"/>
        </w:rPr>
        <w:t>Artículo 89.- Obligaciones de los Agentes de Retención y Percepción.</w:t>
      </w:r>
    </w:p>
    <w:p w14:paraId="5E2536C3" w14:textId="77777777" w:rsidR="00C92E8F" w:rsidRDefault="00C92E8F" w:rsidP="00C92E8F">
      <w:r>
        <w:t>Los agentes de retención y de percepción deberán:</w:t>
      </w:r>
    </w:p>
    <w:p w14:paraId="54B2B70C" w14:textId="77777777" w:rsidR="00C92E8F" w:rsidRDefault="00C92E8F" w:rsidP="00C92E8F">
      <w:r>
        <w:t>1) Practicar la retención o percepción en la oportunidad que lo establezca la Ley o la reglamentación.</w:t>
      </w:r>
    </w:p>
    <w:p w14:paraId="672529E3" w14:textId="77777777" w:rsidR="00C92E8F" w:rsidRDefault="00C92E8F" w:rsidP="00C92E8F">
      <w:r>
        <w:t>2) Expedir el comprobante de retención o de percepción.</w:t>
      </w:r>
    </w:p>
    <w:p w14:paraId="17C4E433" w14:textId="77777777" w:rsidR="00C92E8F" w:rsidRDefault="00C92E8F" w:rsidP="00C92E8F">
      <w:r>
        <w:t>3) Aprobar la liquidación proforma preparada por la Administración Tributaria a partir de los comprobantes de retención y percepción virtual efectuados en el mes anterior, en los plazos, formas y condiciones que establezca la Administración Tributaria.</w:t>
      </w:r>
    </w:p>
    <w:p w14:paraId="7773403B" w14:textId="77777777" w:rsidR="00C92E8F" w:rsidRDefault="00C92E8F" w:rsidP="00C92E8F">
      <w:r>
        <w:t>4) Ingresar el monto retenido o percibido.</w:t>
      </w:r>
    </w:p>
    <w:p w14:paraId="4EC18523" w14:textId="77777777" w:rsidR="00C92E8F" w:rsidRPr="00C92E8F" w:rsidRDefault="00C92E8F" w:rsidP="00C92E8F">
      <w:pPr>
        <w:rPr>
          <w:sz w:val="18"/>
          <w:szCs w:val="18"/>
        </w:rPr>
      </w:pPr>
      <w:r w:rsidRPr="00C92E8F">
        <w:rPr>
          <w:sz w:val="18"/>
          <w:szCs w:val="18"/>
        </w:rPr>
        <w:t>Reglamenta a:</w:t>
      </w:r>
    </w:p>
    <w:p w14:paraId="711D765D" w14:textId="77777777" w:rsidR="00C92E8F" w:rsidRPr="00C92E8F" w:rsidRDefault="00C92E8F" w:rsidP="00C92E8F">
      <w:pPr>
        <w:rPr>
          <w:sz w:val="18"/>
          <w:szCs w:val="18"/>
        </w:rPr>
      </w:pPr>
      <w:r w:rsidRPr="00C92E8F">
        <w:rPr>
          <w:sz w:val="18"/>
          <w:szCs w:val="18"/>
        </w:rPr>
        <w:t xml:space="preserve">Ley </w:t>
      </w:r>
      <w:proofErr w:type="spellStart"/>
      <w:r w:rsidRPr="00C92E8F">
        <w:rPr>
          <w:sz w:val="18"/>
          <w:szCs w:val="18"/>
        </w:rPr>
        <w:t>N°</w:t>
      </w:r>
      <w:proofErr w:type="spellEnd"/>
      <w:r w:rsidRPr="00C92E8F">
        <w:rPr>
          <w:sz w:val="18"/>
          <w:szCs w:val="18"/>
        </w:rPr>
        <w:t xml:space="preserve"> 6.380/2019 Artículo 24.</w:t>
      </w:r>
    </w:p>
    <w:p w14:paraId="0CD4FEBF" w14:textId="77777777" w:rsidR="00C92E8F" w:rsidRPr="00C92E8F" w:rsidRDefault="00C92E8F" w:rsidP="00C92E8F">
      <w:pPr>
        <w:rPr>
          <w:sz w:val="18"/>
          <w:szCs w:val="18"/>
        </w:rPr>
      </w:pPr>
      <w:r w:rsidRPr="00C92E8F">
        <w:rPr>
          <w:sz w:val="18"/>
          <w:szCs w:val="18"/>
        </w:rPr>
        <w:t>Reglamentado por:</w:t>
      </w:r>
    </w:p>
    <w:p w14:paraId="623DADEA" w14:textId="77777777" w:rsidR="00C92E8F" w:rsidRPr="00C92E8F" w:rsidRDefault="00C92E8F" w:rsidP="00C92E8F">
      <w:pPr>
        <w:rPr>
          <w:sz w:val="18"/>
          <w:szCs w:val="18"/>
        </w:rPr>
      </w:pPr>
      <w:r w:rsidRPr="00C92E8F">
        <w:rPr>
          <w:sz w:val="18"/>
          <w:szCs w:val="18"/>
        </w:rPr>
        <w:t xml:space="preserve">Resolución Gral. </w:t>
      </w:r>
      <w:proofErr w:type="spellStart"/>
      <w:r w:rsidRPr="00C92E8F">
        <w:rPr>
          <w:sz w:val="18"/>
          <w:szCs w:val="18"/>
        </w:rPr>
        <w:t>Nº</w:t>
      </w:r>
      <w:proofErr w:type="spellEnd"/>
      <w:r w:rsidRPr="00C92E8F">
        <w:rPr>
          <w:sz w:val="18"/>
          <w:szCs w:val="18"/>
        </w:rPr>
        <w:t xml:space="preserve"> 71/2020 Artículo 1º.</w:t>
      </w:r>
    </w:p>
    <w:p w14:paraId="7345E39D" w14:textId="77777777" w:rsidR="00C92E8F" w:rsidRDefault="00C92E8F" w:rsidP="00C92E8F"/>
    <w:p w14:paraId="59B8E90B" w14:textId="77777777" w:rsidR="00C92E8F" w:rsidRPr="00C92E8F" w:rsidRDefault="00C92E8F" w:rsidP="00C92E8F">
      <w:pPr>
        <w:rPr>
          <w:b/>
          <w:bCs/>
          <w:u w:val="single"/>
        </w:rPr>
      </w:pPr>
      <w:r w:rsidRPr="00C92E8F">
        <w:rPr>
          <w:b/>
          <w:bCs/>
          <w:u w:val="single"/>
        </w:rPr>
        <w:t>Artículo 90.- Oportunidad de la Retención.</w:t>
      </w:r>
    </w:p>
    <w:p w14:paraId="25D12C8E" w14:textId="77777777" w:rsidR="00C92E8F" w:rsidRDefault="00C92E8F" w:rsidP="00C92E8F">
      <w:pPr>
        <w:jc w:val="both"/>
      </w:pPr>
      <w:r>
        <w:t>Sin perjuicio de las situaciones especiales que establezca la Administración Tributaria con carácter general, la retención se deberá efectuar cuando ocurra el primero de los siguientes actos:</w:t>
      </w:r>
    </w:p>
    <w:p w14:paraId="64A70A17" w14:textId="77777777" w:rsidR="00C92E8F" w:rsidRDefault="00C92E8F" w:rsidP="00C92E8F">
      <w:pPr>
        <w:jc w:val="both"/>
      </w:pPr>
      <w:r>
        <w:t>1) Pago.</w:t>
      </w:r>
    </w:p>
    <w:p w14:paraId="773B11A2" w14:textId="77777777" w:rsidR="00C92E8F" w:rsidRDefault="00C92E8F" w:rsidP="00C92E8F">
      <w:pPr>
        <w:jc w:val="both"/>
      </w:pPr>
      <w:r>
        <w:t>2) Puesta a disposición de los fondos.</w:t>
      </w:r>
    </w:p>
    <w:p w14:paraId="302068AB" w14:textId="77777777" w:rsidR="00C92E8F" w:rsidRPr="00C92E8F" w:rsidRDefault="00C92E8F" w:rsidP="00C92E8F">
      <w:pPr>
        <w:jc w:val="both"/>
        <w:rPr>
          <w:b/>
          <w:bCs/>
        </w:rPr>
      </w:pPr>
      <w:r>
        <w:t xml:space="preserve">Tratándose de retenciones a cuenta, </w:t>
      </w:r>
      <w:r w:rsidRPr="00C92E8F">
        <w:rPr>
          <w:b/>
          <w:bCs/>
        </w:rPr>
        <w:t>procederá la retención solo sobre el monto de pago en dinero.</w:t>
      </w:r>
    </w:p>
    <w:p w14:paraId="665C227D" w14:textId="77777777" w:rsidR="00C92E8F" w:rsidRDefault="00C92E8F" w:rsidP="00C92E8F">
      <w:pPr>
        <w:jc w:val="both"/>
      </w:pPr>
      <w:r>
        <w:t xml:space="preserve">Cuando la retención constituya un pago único y definitivo para el proveedor del bien o servicio, </w:t>
      </w:r>
      <w:r w:rsidRPr="00C92E8F">
        <w:rPr>
          <w:b/>
          <w:bCs/>
        </w:rPr>
        <w:t>la compensación se considerará igualmente pago</w:t>
      </w:r>
      <w:r>
        <w:t>. En este caso, si el pago fuere en especie se aplicará la retención con base en la norma de valuación prevista para la permuta.</w:t>
      </w:r>
    </w:p>
    <w:p w14:paraId="77A4025A" w14:textId="77777777" w:rsidR="00C92E8F" w:rsidRDefault="00C92E8F" w:rsidP="00C92E8F">
      <w:pPr>
        <w:jc w:val="both"/>
      </w:pPr>
      <w:r>
        <w:t>La Administración Tributaria establecerá los requisitos, plazos y condiciones para la emisión de la Constancia de No Retención en los casos que corresponda.</w:t>
      </w:r>
    </w:p>
    <w:p w14:paraId="66112051" w14:textId="77777777" w:rsidR="00C92E8F" w:rsidRPr="00C92E8F" w:rsidRDefault="00C92E8F" w:rsidP="00C92E8F">
      <w:pPr>
        <w:rPr>
          <w:b/>
          <w:bCs/>
          <w:sz w:val="20"/>
          <w:szCs w:val="20"/>
        </w:rPr>
      </w:pPr>
      <w:r w:rsidRPr="00C92E8F">
        <w:rPr>
          <w:b/>
          <w:bCs/>
          <w:sz w:val="20"/>
          <w:szCs w:val="20"/>
        </w:rPr>
        <w:t>Reglamenta a:</w:t>
      </w:r>
    </w:p>
    <w:p w14:paraId="3A11AB6D" w14:textId="77777777" w:rsidR="00C92E8F" w:rsidRPr="00C92E8F" w:rsidRDefault="00C92E8F" w:rsidP="00C92E8F">
      <w:pPr>
        <w:rPr>
          <w:sz w:val="20"/>
          <w:szCs w:val="20"/>
        </w:rPr>
      </w:pPr>
      <w:r w:rsidRPr="00C92E8F">
        <w:rPr>
          <w:sz w:val="20"/>
          <w:szCs w:val="20"/>
        </w:rPr>
        <w:lastRenderedPageBreak/>
        <w:t xml:space="preserve">Ley </w:t>
      </w:r>
      <w:proofErr w:type="spellStart"/>
      <w:r w:rsidRPr="00C92E8F">
        <w:rPr>
          <w:sz w:val="20"/>
          <w:szCs w:val="20"/>
        </w:rPr>
        <w:t>N°</w:t>
      </w:r>
      <w:proofErr w:type="spellEnd"/>
      <w:r w:rsidRPr="00C92E8F">
        <w:rPr>
          <w:sz w:val="20"/>
          <w:szCs w:val="20"/>
        </w:rPr>
        <w:t xml:space="preserve"> 6.380/2019 Artículo 24.</w:t>
      </w:r>
    </w:p>
    <w:p w14:paraId="52EA52EE" w14:textId="77777777" w:rsidR="00C92E8F" w:rsidRPr="00C92E8F" w:rsidRDefault="00C92E8F" w:rsidP="00C92E8F">
      <w:pPr>
        <w:rPr>
          <w:sz w:val="20"/>
          <w:szCs w:val="20"/>
        </w:rPr>
      </w:pPr>
      <w:r w:rsidRPr="00C92E8F">
        <w:rPr>
          <w:sz w:val="20"/>
          <w:szCs w:val="20"/>
        </w:rPr>
        <w:t xml:space="preserve">Ley </w:t>
      </w:r>
      <w:proofErr w:type="spellStart"/>
      <w:r w:rsidRPr="00C92E8F">
        <w:rPr>
          <w:sz w:val="20"/>
          <w:szCs w:val="20"/>
        </w:rPr>
        <w:t>N°</w:t>
      </w:r>
      <w:proofErr w:type="spellEnd"/>
      <w:r w:rsidRPr="00C92E8F">
        <w:rPr>
          <w:sz w:val="20"/>
          <w:szCs w:val="20"/>
        </w:rPr>
        <w:t xml:space="preserve"> 125/1991 Artículo 240.</w:t>
      </w:r>
    </w:p>
    <w:p w14:paraId="79C5A43F" w14:textId="77777777" w:rsidR="00C92E8F" w:rsidRPr="00C92E8F" w:rsidRDefault="00C92E8F" w:rsidP="00C92E8F">
      <w:pPr>
        <w:rPr>
          <w:b/>
          <w:bCs/>
          <w:sz w:val="20"/>
          <w:szCs w:val="20"/>
        </w:rPr>
      </w:pPr>
      <w:r w:rsidRPr="00C92E8F">
        <w:rPr>
          <w:b/>
          <w:bCs/>
          <w:sz w:val="20"/>
          <w:szCs w:val="20"/>
        </w:rPr>
        <w:t>Reglamentado por:</w:t>
      </w:r>
    </w:p>
    <w:p w14:paraId="1D56AC85" w14:textId="0D707ACA" w:rsidR="00C92E8F" w:rsidRDefault="00C92E8F" w:rsidP="00C92E8F">
      <w:pPr>
        <w:rPr>
          <w:sz w:val="20"/>
          <w:szCs w:val="20"/>
        </w:rPr>
      </w:pPr>
      <w:r w:rsidRPr="00C92E8F">
        <w:rPr>
          <w:sz w:val="20"/>
          <w:szCs w:val="20"/>
        </w:rPr>
        <w:t xml:space="preserve">Resolución Gral. </w:t>
      </w:r>
      <w:proofErr w:type="spellStart"/>
      <w:r w:rsidRPr="00C92E8F">
        <w:rPr>
          <w:sz w:val="20"/>
          <w:szCs w:val="20"/>
        </w:rPr>
        <w:t>Nº</w:t>
      </w:r>
      <w:proofErr w:type="spellEnd"/>
      <w:r w:rsidRPr="00C92E8F">
        <w:rPr>
          <w:sz w:val="20"/>
          <w:szCs w:val="20"/>
        </w:rPr>
        <w:t xml:space="preserve"> 71/2020 Artículo 1º.</w:t>
      </w:r>
    </w:p>
    <w:p w14:paraId="2F235D24" w14:textId="7AB90C09" w:rsidR="00C92E8F" w:rsidRDefault="00C92E8F" w:rsidP="00C92E8F">
      <w:pPr>
        <w:rPr>
          <w:sz w:val="20"/>
          <w:szCs w:val="20"/>
        </w:rPr>
      </w:pPr>
    </w:p>
    <w:p w14:paraId="280FACEF" w14:textId="7C6A0372" w:rsidR="00C92E8F" w:rsidRDefault="00C92E8F" w:rsidP="00C92E8F">
      <w:pPr>
        <w:rPr>
          <w:sz w:val="20"/>
          <w:szCs w:val="20"/>
        </w:rPr>
      </w:pPr>
    </w:p>
    <w:p w14:paraId="0A131637" w14:textId="194801BE" w:rsidR="00C92E8F" w:rsidRDefault="00C92E8F" w:rsidP="00C92E8F">
      <w:pPr>
        <w:rPr>
          <w:sz w:val="20"/>
          <w:szCs w:val="20"/>
        </w:rPr>
      </w:pPr>
    </w:p>
    <w:p w14:paraId="7A778D9E" w14:textId="5780DE0F" w:rsidR="00C92E8F" w:rsidRDefault="00C92E8F" w:rsidP="00C92E8F">
      <w:pPr>
        <w:rPr>
          <w:sz w:val="20"/>
          <w:szCs w:val="20"/>
        </w:rPr>
      </w:pPr>
    </w:p>
    <w:p w14:paraId="05D3C270" w14:textId="27D70620" w:rsidR="00C92E8F" w:rsidRDefault="00C92E8F" w:rsidP="00C92E8F">
      <w:pPr>
        <w:rPr>
          <w:sz w:val="20"/>
          <w:szCs w:val="20"/>
        </w:rPr>
      </w:pPr>
    </w:p>
    <w:p w14:paraId="7F12BF61" w14:textId="0D44F091" w:rsidR="00C92E8F" w:rsidRDefault="00C92E8F" w:rsidP="00C92E8F">
      <w:pPr>
        <w:rPr>
          <w:sz w:val="20"/>
          <w:szCs w:val="20"/>
        </w:rPr>
      </w:pPr>
    </w:p>
    <w:p w14:paraId="28CD95C3" w14:textId="71F71E52" w:rsidR="00C92E8F" w:rsidRDefault="00C92E8F" w:rsidP="00C92E8F">
      <w:pPr>
        <w:rPr>
          <w:sz w:val="20"/>
          <w:szCs w:val="20"/>
        </w:rPr>
      </w:pPr>
    </w:p>
    <w:p w14:paraId="305330BE" w14:textId="0281B3BB" w:rsidR="00C92E8F" w:rsidRDefault="00C92E8F" w:rsidP="00C92E8F">
      <w:pPr>
        <w:rPr>
          <w:sz w:val="20"/>
          <w:szCs w:val="20"/>
        </w:rPr>
      </w:pPr>
    </w:p>
    <w:p w14:paraId="44D8C415" w14:textId="4AE7277B" w:rsidR="00C92E8F" w:rsidRDefault="00C92E8F" w:rsidP="00C92E8F">
      <w:pPr>
        <w:rPr>
          <w:sz w:val="20"/>
          <w:szCs w:val="20"/>
        </w:rPr>
      </w:pPr>
    </w:p>
    <w:p w14:paraId="20E27FF7" w14:textId="2C53D7E3" w:rsidR="00C92E8F" w:rsidRDefault="00C92E8F" w:rsidP="00C92E8F">
      <w:pPr>
        <w:rPr>
          <w:sz w:val="20"/>
          <w:szCs w:val="20"/>
        </w:rPr>
      </w:pPr>
    </w:p>
    <w:p w14:paraId="278DD8F0" w14:textId="07C82EE1" w:rsidR="00C92E8F" w:rsidRDefault="00C92E8F" w:rsidP="00C92E8F">
      <w:pPr>
        <w:rPr>
          <w:sz w:val="20"/>
          <w:szCs w:val="20"/>
        </w:rPr>
      </w:pPr>
    </w:p>
    <w:p w14:paraId="25BB305A" w14:textId="193AB288" w:rsidR="00C92E8F" w:rsidRDefault="00C92E8F" w:rsidP="00C92E8F">
      <w:pPr>
        <w:rPr>
          <w:sz w:val="20"/>
          <w:szCs w:val="20"/>
        </w:rPr>
      </w:pPr>
    </w:p>
    <w:p w14:paraId="7BDFC9F8" w14:textId="535422A2" w:rsidR="00C92E8F" w:rsidRDefault="00C92E8F" w:rsidP="00C92E8F">
      <w:pPr>
        <w:rPr>
          <w:sz w:val="20"/>
          <w:szCs w:val="20"/>
        </w:rPr>
      </w:pPr>
    </w:p>
    <w:p w14:paraId="33423A2A" w14:textId="77777777" w:rsidR="00C92E8F" w:rsidRPr="00C92E8F" w:rsidRDefault="00C92E8F" w:rsidP="00C92E8F">
      <w:pPr>
        <w:shd w:val="clear" w:color="auto" w:fill="1F4E79" w:themeFill="accent5" w:themeFillShade="80"/>
        <w:spacing w:after="0"/>
        <w:jc w:val="center"/>
        <w:rPr>
          <w:b/>
          <w:bCs/>
          <w:color w:val="FFFFFF" w:themeColor="background1"/>
          <w:sz w:val="20"/>
          <w:szCs w:val="20"/>
        </w:rPr>
      </w:pPr>
      <w:r w:rsidRPr="00C92E8F">
        <w:rPr>
          <w:b/>
          <w:bCs/>
          <w:color w:val="FFFFFF" w:themeColor="background1"/>
          <w:sz w:val="20"/>
          <w:szCs w:val="20"/>
        </w:rPr>
        <w:t xml:space="preserve">RESOLUCIÓN GENERAL </w:t>
      </w:r>
      <w:proofErr w:type="spellStart"/>
      <w:r w:rsidRPr="00C92E8F">
        <w:rPr>
          <w:b/>
          <w:bCs/>
          <w:color w:val="FFFFFF" w:themeColor="background1"/>
          <w:sz w:val="20"/>
          <w:szCs w:val="20"/>
        </w:rPr>
        <w:t>N°</w:t>
      </w:r>
      <w:proofErr w:type="spellEnd"/>
      <w:r w:rsidRPr="00C92E8F">
        <w:rPr>
          <w:b/>
          <w:bCs/>
          <w:color w:val="FFFFFF" w:themeColor="background1"/>
          <w:sz w:val="20"/>
          <w:szCs w:val="20"/>
        </w:rPr>
        <w:t xml:space="preserve"> 71/2020</w:t>
      </w:r>
    </w:p>
    <w:p w14:paraId="0EBE281D" w14:textId="77777777" w:rsidR="00C92E8F" w:rsidRPr="00C92E8F" w:rsidRDefault="00C92E8F" w:rsidP="00C92E8F">
      <w:pPr>
        <w:shd w:val="clear" w:color="auto" w:fill="1F4E79" w:themeFill="accent5" w:themeFillShade="80"/>
        <w:spacing w:after="0"/>
        <w:jc w:val="center"/>
        <w:rPr>
          <w:b/>
          <w:bCs/>
          <w:color w:val="FFFFFF" w:themeColor="background1"/>
          <w:sz w:val="20"/>
          <w:szCs w:val="20"/>
        </w:rPr>
      </w:pPr>
      <w:r w:rsidRPr="00C92E8F">
        <w:rPr>
          <w:b/>
          <w:bCs/>
          <w:color w:val="FFFFFF" w:themeColor="background1"/>
          <w:sz w:val="20"/>
          <w:szCs w:val="20"/>
        </w:rPr>
        <w:t>POR LA CUAL SE DESIGNAN AGENTES DE RETENCIÓN DEL IMPUESTO A LA RENTA EMPRESARIAL (IRE).</w:t>
      </w:r>
    </w:p>
    <w:p w14:paraId="3015A59F" w14:textId="77777777" w:rsidR="00C92E8F" w:rsidRPr="00C92E8F" w:rsidRDefault="00C92E8F" w:rsidP="00C92E8F">
      <w:pPr>
        <w:spacing w:after="0"/>
        <w:jc w:val="both"/>
        <w:rPr>
          <w:sz w:val="20"/>
          <w:szCs w:val="20"/>
        </w:rPr>
      </w:pPr>
    </w:p>
    <w:p w14:paraId="497F8A5F" w14:textId="77777777" w:rsidR="00C92E8F" w:rsidRPr="00C92E8F" w:rsidRDefault="00C92E8F" w:rsidP="00C92E8F">
      <w:pPr>
        <w:spacing w:after="0"/>
        <w:jc w:val="both"/>
        <w:rPr>
          <w:sz w:val="20"/>
          <w:szCs w:val="20"/>
        </w:rPr>
      </w:pPr>
      <w:r w:rsidRPr="00C92E8F">
        <w:rPr>
          <w:sz w:val="20"/>
          <w:szCs w:val="20"/>
        </w:rPr>
        <w:t>Asunción, 17 de noviembre de 2020</w:t>
      </w:r>
    </w:p>
    <w:p w14:paraId="3CEC2E89" w14:textId="77777777" w:rsidR="00C92E8F" w:rsidRPr="00C92E8F" w:rsidRDefault="00C92E8F" w:rsidP="00C92E8F">
      <w:pPr>
        <w:spacing w:after="0"/>
        <w:jc w:val="both"/>
        <w:rPr>
          <w:sz w:val="20"/>
          <w:szCs w:val="20"/>
        </w:rPr>
      </w:pPr>
    </w:p>
    <w:p w14:paraId="4BC2174F" w14:textId="77777777" w:rsidR="00C92E8F" w:rsidRPr="00C92E8F" w:rsidRDefault="00C92E8F" w:rsidP="00C92E8F">
      <w:pPr>
        <w:spacing w:after="0"/>
        <w:jc w:val="both"/>
        <w:rPr>
          <w:sz w:val="20"/>
          <w:szCs w:val="20"/>
        </w:rPr>
      </w:pPr>
      <w:r w:rsidRPr="00C92E8F">
        <w:rPr>
          <w:sz w:val="20"/>
          <w:szCs w:val="20"/>
        </w:rPr>
        <w:t xml:space="preserve">VISTO: El Libro V de la Ley </w:t>
      </w:r>
      <w:proofErr w:type="spellStart"/>
      <w:r w:rsidRPr="00C92E8F">
        <w:rPr>
          <w:sz w:val="20"/>
          <w:szCs w:val="20"/>
        </w:rPr>
        <w:t>N°</w:t>
      </w:r>
      <w:proofErr w:type="spellEnd"/>
      <w:r w:rsidRPr="00C92E8F">
        <w:rPr>
          <w:sz w:val="20"/>
          <w:szCs w:val="20"/>
        </w:rPr>
        <w:t xml:space="preserve"> 125/1991 «Que establece el Nuevo Régimen Tributario» y sus modificaciones;</w:t>
      </w:r>
    </w:p>
    <w:p w14:paraId="70050DDC" w14:textId="77777777" w:rsidR="00C92E8F" w:rsidRPr="00C92E8F" w:rsidRDefault="00C92E8F" w:rsidP="00C92E8F">
      <w:pPr>
        <w:spacing w:after="0"/>
        <w:jc w:val="both"/>
        <w:rPr>
          <w:sz w:val="20"/>
          <w:szCs w:val="20"/>
        </w:rPr>
      </w:pPr>
    </w:p>
    <w:p w14:paraId="0CF19ACD" w14:textId="77777777" w:rsidR="00C92E8F" w:rsidRPr="00C92E8F" w:rsidRDefault="00C92E8F" w:rsidP="00C92E8F">
      <w:pPr>
        <w:spacing w:after="0"/>
        <w:jc w:val="both"/>
        <w:rPr>
          <w:sz w:val="20"/>
          <w:szCs w:val="20"/>
        </w:rPr>
      </w:pPr>
      <w:r w:rsidRPr="00C92E8F">
        <w:rPr>
          <w:sz w:val="20"/>
          <w:szCs w:val="20"/>
        </w:rPr>
        <w:t xml:space="preserve">La Ley </w:t>
      </w:r>
      <w:proofErr w:type="spellStart"/>
      <w:r w:rsidRPr="00C92E8F">
        <w:rPr>
          <w:sz w:val="20"/>
          <w:szCs w:val="20"/>
        </w:rPr>
        <w:t>N°</w:t>
      </w:r>
      <w:proofErr w:type="spellEnd"/>
      <w:r w:rsidRPr="00C92E8F">
        <w:rPr>
          <w:sz w:val="20"/>
          <w:szCs w:val="20"/>
        </w:rPr>
        <w:t xml:space="preserve"> 6380/2019 «De Modernización y Simplificación del Sistema Tributario Nacional»;</w:t>
      </w:r>
    </w:p>
    <w:p w14:paraId="2BCC50EA" w14:textId="77777777" w:rsidR="00C92E8F" w:rsidRPr="00C92E8F" w:rsidRDefault="00C92E8F" w:rsidP="00C92E8F">
      <w:pPr>
        <w:spacing w:after="0"/>
        <w:jc w:val="both"/>
        <w:rPr>
          <w:sz w:val="20"/>
          <w:szCs w:val="20"/>
        </w:rPr>
      </w:pPr>
    </w:p>
    <w:p w14:paraId="5848DB73" w14:textId="77777777" w:rsidR="00C92E8F" w:rsidRPr="00C92E8F" w:rsidRDefault="00C92E8F" w:rsidP="00C92E8F">
      <w:pPr>
        <w:spacing w:after="0"/>
        <w:jc w:val="both"/>
        <w:rPr>
          <w:sz w:val="20"/>
          <w:szCs w:val="20"/>
        </w:rPr>
      </w:pPr>
      <w:r w:rsidRPr="00C92E8F">
        <w:rPr>
          <w:sz w:val="20"/>
          <w:szCs w:val="20"/>
        </w:rPr>
        <w:t xml:space="preserve">El Decreto </w:t>
      </w:r>
      <w:proofErr w:type="spellStart"/>
      <w:r w:rsidRPr="00C92E8F">
        <w:rPr>
          <w:sz w:val="20"/>
          <w:szCs w:val="20"/>
        </w:rPr>
        <w:t>N°</w:t>
      </w:r>
      <w:proofErr w:type="spellEnd"/>
      <w:r w:rsidRPr="00C92E8F">
        <w:rPr>
          <w:sz w:val="20"/>
          <w:szCs w:val="20"/>
        </w:rPr>
        <w:t xml:space="preserve"> 3182/2019 «Por el cual se reglamenta el Impuesto a la Renta Empresarial (IRE) establecido en la Ley </w:t>
      </w:r>
      <w:proofErr w:type="spellStart"/>
      <w:r w:rsidRPr="00C92E8F">
        <w:rPr>
          <w:sz w:val="20"/>
          <w:szCs w:val="20"/>
        </w:rPr>
        <w:t>N°</w:t>
      </w:r>
      <w:proofErr w:type="spellEnd"/>
      <w:r w:rsidRPr="00C92E8F">
        <w:rPr>
          <w:sz w:val="20"/>
          <w:szCs w:val="20"/>
        </w:rPr>
        <w:t xml:space="preserve"> 6380/2019, “De Modernización y Simplificación del Sistema Tributario Nacional”»; y</w:t>
      </w:r>
    </w:p>
    <w:p w14:paraId="7E17BEB0" w14:textId="77777777" w:rsidR="00C92E8F" w:rsidRPr="00C92E8F" w:rsidRDefault="00C92E8F" w:rsidP="00C92E8F">
      <w:pPr>
        <w:spacing w:after="0"/>
        <w:jc w:val="both"/>
        <w:rPr>
          <w:sz w:val="20"/>
          <w:szCs w:val="20"/>
        </w:rPr>
      </w:pPr>
    </w:p>
    <w:p w14:paraId="6FFB6610" w14:textId="77777777" w:rsidR="00C92E8F" w:rsidRPr="00C92E8F" w:rsidRDefault="00C92E8F" w:rsidP="00C92E8F">
      <w:pPr>
        <w:spacing w:after="0"/>
        <w:jc w:val="both"/>
        <w:rPr>
          <w:sz w:val="20"/>
          <w:szCs w:val="20"/>
        </w:rPr>
      </w:pPr>
      <w:r w:rsidRPr="00C92E8F">
        <w:rPr>
          <w:sz w:val="20"/>
          <w:szCs w:val="20"/>
        </w:rPr>
        <w:t xml:space="preserve">CONSIDERANDO: Que el Art. 88 del Anexo al Decreto </w:t>
      </w:r>
      <w:proofErr w:type="spellStart"/>
      <w:r w:rsidRPr="00C92E8F">
        <w:rPr>
          <w:sz w:val="20"/>
          <w:szCs w:val="20"/>
        </w:rPr>
        <w:t>N°</w:t>
      </w:r>
      <w:proofErr w:type="spellEnd"/>
      <w:r w:rsidRPr="00C92E8F">
        <w:rPr>
          <w:sz w:val="20"/>
          <w:szCs w:val="20"/>
        </w:rPr>
        <w:t xml:space="preserve"> 3182/2019 faculta a la Administración Tributaria a designar como agentes de retención a los frigoríficos, ferias de ganado y otras entidades, en todas las ocasiones en que los contribuyentes del Impuesto a la Renta Empresarial (IRE RG o IRE SIMPLE) actúen como proveedores de ganado vacuno en pie al momento de la adquisición de dichos bienes.</w:t>
      </w:r>
    </w:p>
    <w:p w14:paraId="1A876508" w14:textId="77777777" w:rsidR="00C92E8F" w:rsidRPr="00C92E8F" w:rsidRDefault="00C92E8F" w:rsidP="00C92E8F">
      <w:pPr>
        <w:spacing w:after="0"/>
        <w:jc w:val="both"/>
        <w:rPr>
          <w:sz w:val="20"/>
          <w:szCs w:val="20"/>
        </w:rPr>
      </w:pPr>
    </w:p>
    <w:p w14:paraId="573BA910" w14:textId="77777777" w:rsidR="00C92E8F" w:rsidRPr="00C92E8F" w:rsidRDefault="00C92E8F" w:rsidP="00C92E8F">
      <w:pPr>
        <w:spacing w:after="0"/>
        <w:jc w:val="both"/>
        <w:rPr>
          <w:sz w:val="20"/>
          <w:szCs w:val="20"/>
        </w:rPr>
      </w:pPr>
      <w:r w:rsidRPr="00C92E8F">
        <w:rPr>
          <w:sz w:val="20"/>
          <w:szCs w:val="20"/>
        </w:rPr>
        <w:t xml:space="preserve">Que el sector agropecuario cuenta con una significativa participación en la economía nacional, por lo que resulta necesario establecer mecanismos que faciliten a los contribuyentes del IRE cumplir con sus obligaciones tributarias.   </w:t>
      </w:r>
    </w:p>
    <w:p w14:paraId="26D1BDC1" w14:textId="77777777" w:rsidR="00C92E8F" w:rsidRPr="00C92E8F" w:rsidRDefault="00C92E8F" w:rsidP="00C92E8F">
      <w:pPr>
        <w:spacing w:after="0"/>
        <w:jc w:val="both"/>
        <w:rPr>
          <w:sz w:val="20"/>
          <w:szCs w:val="20"/>
        </w:rPr>
      </w:pPr>
    </w:p>
    <w:p w14:paraId="57696104" w14:textId="77777777" w:rsidR="00C92E8F" w:rsidRPr="00C92E8F" w:rsidRDefault="00C92E8F" w:rsidP="00C92E8F">
      <w:pPr>
        <w:spacing w:after="0"/>
        <w:jc w:val="both"/>
        <w:rPr>
          <w:sz w:val="20"/>
          <w:szCs w:val="20"/>
        </w:rPr>
      </w:pPr>
      <w:r w:rsidRPr="00C92E8F">
        <w:rPr>
          <w:sz w:val="20"/>
          <w:szCs w:val="20"/>
        </w:rPr>
        <w:t>Que la retención en la fuente constituye un mecanismo idóneo, ágil y práctico, que permite mantener con regularidad la mayor parte del tributo que será ingresado al momento del vencimiento para el pago del adeudo tributario, hecho que hace necesaria su utilización como medio de recaudación. Para dicho fin es necesario comunicar a los contribuyentes afectados con la debida anticipación, facilitándole de esta forma cumplir debidamente con esta obligación.</w:t>
      </w:r>
    </w:p>
    <w:p w14:paraId="00BBB05F" w14:textId="77777777" w:rsidR="00C92E8F" w:rsidRPr="00C92E8F" w:rsidRDefault="00C92E8F" w:rsidP="00C92E8F">
      <w:pPr>
        <w:spacing w:after="0"/>
        <w:jc w:val="both"/>
        <w:rPr>
          <w:sz w:val="20"/>
          <w:szCs w:val="20"/>
        </w:rPr>
      </w:pPr>
    </w:p>
    <w:p w14:paraId="3B69DECA" w14:textId="77777777" w:rsidR="00C92E8F" w:rsidRPr="00C92E8F" w:rsidRDefault="00C92E8F" w:rsidP="00C92E8F">
      <w:pPr>
        <w:spacing w:after="0"/>
        <w:jc w:val="both"/>
        <w:rPr>
          <w:sz w:val="20"/>
          <w:szCs w:val="20"/>
        </w:rPr>
      </w:pPr>
      <w:proofErr w:type="spellStart"/>
      <w:proofErr w:type="gramStart"/>
      <w:r w:rsidRPr="00C92E8F">
        <w:rPr>
          <w:sz w:val="20"/>
          <w:szCs w:val="20"/>
        </w:rPr>
        <w:lastRenderedPageBreak/>
        <w:t>Que</w:t>
      </w:r>
      <w:proofErr w:type="spellEnd"/>
      <w:proofErr w:type="gramEnd"/>
      <w:r w:rsidRPr="00C92E8F">
        <w:rPr>
          <w:sz w:val="20"/>
          <w:szCs w:val="20"/>
        </w:rPr>
        <w:t xml:space="preserve"> asimismo, el Art. 240 de la Ley </w:t>
      </w:r>
      <w:proofErr w:type="spellStart"/>
      <w:r w:rsidRPr="00C92E8F">
        <w:rPr>
          <w:sz w:val="20"/>
          <w:szCs w:val="20"/>
        </w:rPr>
        <w:t>N°</w:t>
      </w:r>
      <w:proofErr w:type="spellEnd"/>
      <w:r w:rsidRPr="00C92E8F">
        <w:rPr>
          <w:sz w:val="20"/>
          <w:szCs w:val="20"/>
        </w:rPr>
        <w:t xml:space="preserve"> 125/1991 faculta a la Administración Tributaria la designación de agentes de retención o de percepción de tributos, en ocasión en que los contribuyentes intervengan en operaciones comerciales.</w:t>
      </w:r>
    </w:p>
    <w:p w14:paraId="6794C0A6" w14:textId="77777777" w:rsidR="00C92E8F" w:rsidRPr="00C92E8F" w:rsidRDefault="00C92E8F" w:rsidP="00C92E8F">
      <w:pPr>
        <w:spacing w:after="0"/>
        <w:jc w:val="both"/>
        <w:rPr>
          <w:sz w:val="20"/>
          <w:szCs w:val="20"/>
        </w:rPr>
      </w:pPr>
    </w:p>
    <w:p w14:paraId="50AFA0BB" w14:textId="77777777" w:rsidR="00C92E8F" w:rsidRPr="00C92E8F" w:rsidRDefault="00C92E8F" w:rsidP="00C92E8F">
      <w:pPr>
        <w:spacing w:after="0"/>
        <w:jc w:val="both"/>
        <w:rPr>
          <w:sz w:val="20"/>
          <w:szCs w:val="20"/>
        </w:rPr>
      </w:pPr>
      <w:r w:rsidRPr="00C92E8F">
        <w:rPr>
          <w:sz w:val="20"/>
          <w:szCs w:val="20"/>
        </w:rPr>
        <w:t>Que la Subsecretaría de Estado de Tributación cuenta con amplias facultades legales para establecer normas generales para trámites administrativos, impartir instrucciones y dictar los actos necesarios para la aplicación, administración, percepción y fiscalización de los tributos.</w:t>
      </w:r>
    </w:p>
    <w:p w14:paraId="7CB60C82" w14:textId="77777777" w:rsidR="00C92E8F" w:rsidRPr="00C92E8F" w:rsidRDefault="00C92E8F" w:rsidP="00C92E8F">
      <w:pPr>
        <w:spacing w:after="0"/>
        <w:jc w:val="both"/>
        <w:rPr>
          <w:sz w:val="20"/>
          <w:szCs w:val="20"/>
        </w:rPr>
      </w:pPr>
    </w:p>
    <w:p w14:paraId="6F0ACA9D" w14:textId="77777777" w:rsidR="00C92E8F" w:rsidRPr="00C92E8F" w:rsidRDefault="00C92E8F" w:rsidP="00C92E8F">
      <w:pPr>
        <w:spacing w:after="0"/>
        <w:jc w:val="both"/>
        <w:rPr>
          <w:sz w:val="20"/>
          <w:szCs w:val="20"/>
        </w:rPr>
      </w:pPr>
      <w:r w:rsidRPr="00C92E8F">
        <w:rPr>
          <w:sz w:val="20"/>
          <w:szCs w:val="20"/>
        </w:rPr>
        <w:t xml:space="preserve">Que la Dirección de Planificación y Técnica Tributaria se ha expedido en los términos del Dictamen DEINT/PN </w:t>
      </w:r>
      <w:proofErr w:type="spellStart"/>
      <w:r w:rsidRPr="00C92E8F">
        <w:rPr>
          <w:sz w:val="20"/>
          <w:szCs w:val="20"/>
        </w:rPr>
        <w:t>N°</w:t>
      </w:r>
      <w:proofErr w:type="spellEnd"/>
      <w:r w:rsidRPr="00C92E8F">
        <w:rPr>
          <w:sz w:val="20"/>
          <w:szCs w:val="20"/>
        </w:rPr>
        <w:t xml:space="preserve"> 72 del 13 de noviembre de 2020.</w:t>
      </w:r>
    </w:p>
    <w:p w14:paraId="0C0BDEC0" w14:textId="77777777" w:rsidR="00C92E8F" w:rsidRPr="00C92E8F" w:rsidRDefault="00C92E8F" w:rsidP="00C92E8F">
      <w:pPr>
        <w:spacing w:after="0"/>
        <w:jc w:val="both"/>
        <w:rPr>
          <w:sz w:val="20"/>
          <w:szCs w:val="20"/>
        </w:rPr>
      </w:pPr>
    </w:p>
    <w:p w14:paraId="3E6D2D03" w14:textId="77777777" w:rsidR="00C92E8F" w:rsidRPr="00C92E8F" w:rsidRDefault="00C92E8F" w:rsidP="00C92E8F">
      <w:pPr>
        <w:spacing w:after="0"/>
        <w:jc w:val="both"/>
        <w:rPr>
          <w:sz w:val="20"/>
          <w:szCs w:val="20"/>
        </w:rPr>
      </w:pPr>
      <w:r w:rsidRPr="00C92E8F">
        <w:rPr>
          <w:sz w:val="20"/>
          <w:szCs w:val="20"/>
        </w:rPr>
        <w:t>POR TANTO,</w:t>
      </w:r>
    </w:p>
    <w:p w14:paraId="7D64ADF1" w14:textId="77777777" w:rsidR="00C92E8F" w:rsidRPr="00C92E8F" w:rsidRDefault="00C92E8F" w:rsidP="00C92E8F">
      <w:pPr>
        <w:spacing w:after="0"/>
        <w:jc w:val="both"/>
        <w:rPr>
          <w:sz w:val="20"/>
          <w:szCs w:val="20"/>
        </w:rPr>
      </w:pPr>
    </w:p>
    <w:p w14:paraId="1A71FF4C" w14:textId="77777777" w:rsidR="00C92E8F" w:rsidRPr="00C92E8F" w:rsidRDefault="00C92E8F" w:rsidP="00C92E8F">
      <w:pPr>
        <w:spacing w:after="0"/>
        <w:jc w:val="center"/>
        <w:rPr>
          <w:sz w:val="20"/>
          <w:szCs w:val="20"/>
        </w:rPr>
      </w:pPr>
      <w:r w:rsidRPr="00C92E8F">
        <w:rPr>
          <w:sz w:val="20"/>
          <w:szCs w:val="20"/>
        </w:rPr>
        <w:t>EL VICEMINISTRO DE TRIBUTACIÓN</w:t>
      </w:r>
    </w:p>
    <w:p w14:paraId="225BCD1E" w14:textId="77777777" w:rsidR="00C92E8F" w:rsidRPr="00C92E8F" w:rsidRDefault="00C92E8F" w:rsidP="00C92E8F">
      <w:pPr>
        <w:spacing w:after="0"/>
        <w:jc w:val="center"/>
        <w:rPr>
          <w:sz w:val="20"/>
          <w:szCs w:val="20"/>
        </w:rPr>
      </w:pPr>
      <w:r w:rsidRPr="00C92E8F">
        <w:rPr>
          <w:sz w:val="20"/>
          <w:szCs w:val="20"/>
        </w:rPr>
        <w:t>RESUELVE:</w:t>
      </w:r>
    </w:p>
    <w:p w14:paraId="36D8CED1" w14:textId="77777777" w:rsidR="00C92E8F" w:rsidRPr="00C92E8F" w:rsidRDefault="00C92E8F" w:rsidP="00C92E8F">
      <w:pPr>
        <w:spacing w:after="0"/>
        <w:jc w:val="both"/>
        <w:rPr>
          <w:sz w:val="20"/>
          <w:szCs w:val="20"/>
        </w:rPr>
      </w:pPr>
    </w:p>
    <w:p w14:paraId="3682F660" w14:textId="77777777" w:rsidR="00C92E8F" w:rsidRPr="00C92E8F" w:rsidRDefault="00C92E8F" w:rsidP="00C92E8F">
      <w:pPr>
        <w:spacing w:after="0"/>
        <w:jc w:val="both"/>
        <w:rPr>
          <w:sz w:val="20"/>
          <w:szCs w:val="20"/>
        </w:rPr>
      </w:pPr>
      <w:r w:rsidRPr="00C92E8F">
        <w:rPr>
          <w:sz w:val="20"/>
          <w:szCs w:val="20"/>
        </w:rPr>
        <w:t>Artículo 1</w:t>
      </w:r>
      <w:proofErr w:type="gramStart"/>
      <w:r w:rsidRPr="00C92E8F">
        <w:rPr>
          <w:sz w:val="20"/>
          <w:szCs w:val="20"/>
        </w:rPr>
        <w:t>°.-</w:t>
      </w:r>
      <w:proofErr w:type="gramEnd"/>
      <w:r w:rsidRPr="00C92E8F">
        <w:rPr>
          <w:sz w:val="20"/>
          <w:szCs w:val="20"/>
        </w:rPr>
        <w:t xml:space="preserve"> </w:t>
      </w:r>
      <w:r w:rsidRPr="00C92E8F">
        <w:rPr>
          <w:b/>
          <w:bCs/>
          <w:sz w:val="20"/>
          <w:szCs w:val="20"/>
        </w:rPr>
        <w:t xml:space="preserve">Designar como Agentes de Retención del Impuesto a la Renta Empresarial (IRE) a los contribuyentes mencionados en el Anexo </w:t>
      </w:r>
      <w:r w:rsidRPr="00C92E8F">
        <w:rPr>
          <w:sz w:val="20"/>
          <w:szCs w:val="20"/>
        </w:rPr>
        <w:t xml:space="preserve">de la presente Resolución, quienes tendrán la obligación de retener el impuesto conforme a lo establecido en los artículos 88, 89 y 90 del Anexo al Decreto </w:t>
      </w:r>
      <w:proofErr w:type="spellStart"/>
      <w:r w:rsidRPr="00C92E8F">
        <w:rPr>
          <w:sz w:val="20"/>
          <w:szCs w:val="20"/>
        </w:rPr>
        <w:t>N°</w:t>
      </w:r>
      <w:proofErr w:type="spellEnd"/>
      <w:r w:rsidRPr="00C92E8F">
        <w:rPr>
          <w:sz w:val="20"/>
          <w:szCs w:val="20"/>
        </w:rPr>
        <w:t xml:space="preserve"> 3182/2019.</w:t>
      </w:r>
    </w:p>
    <w:p w14:paraId="5932A188" w14:textId="77777777" w:rsidR="00C92E8F" w:rsidRPr="00C92E8F" w:rsidRDefault="00C92E8F" w:rsidP="00C92E8F">
      <w:pPr>
        <w:spacing w:after="0"/>
        <w:jc w:val="both"/>
        <w:rPr>
          <w:sz w:val="20"/>
          <w:szCs w:val="20"/>
        </w:rPr>
      </w:pPr>
    </w:p>
    <w:p w14:paraId="066BC463" w14:textId="77777777" w:rsidR="00C92E8F" w:rsidRPr="00C92E8F" w:rsidRDefault="00C92E8F" w:rsidP="00C92E8F">
      <w:pPr>
        <w:spacing w:after="0"/>
        <w:jc w:val="both"/>
        <w:rPr>
          <w:sz w:val="20"/>
          <w:szCs w:val="20"/>
        </w:rPr>
      </w:pPr>
      <w:r w:rsidRPr="00C92E8F">
        <w:rPr>
          <w:sz w:val="20"/>
          <w:szCs w:val="20"/>
        </w:rPr>
        <w:t>El Anexo con el detalle de RUC, nombres y apellidos o Razón Social de los Agentes de Retención referidos en el párrafo precedente estará disponible en la página web de la SET (www.set.gov.py).</w:t>
      </w:r>
    </w:p>
    <w:p w14:paraId="6F59C59B" w14:textId="77777777" w:rsidR="00C92E8F" w:rsidRPr="00C92E8F" w:rsidRDefault="00C92E8F" w:rsidP="00C92E8F">
      <w:pPr>
        <w:spacing w:after="0"/>
        <w:jc w:val="both"/>
        <w:rPr>
          <w:sz w:val="20"/>
          <w:szCs w:val="20"/>
        </w:rPr>
      </w:pPr>
    </w:p>
    <w:p w14:paraId="61FEBBA0" w14:textId="77777777" w:rsidR="00C92E8F" w:rsidRPr="005763DD" w:rsidRDefault="00C92E8F" w:rsidP="00C92E8F">
      <w:pPr>
        <w:spacing w:after="0"/>
        <w:jc w:val="both"/>
        <w:rPr>
          <w:b/>
          <w:bCs/>
          <w:color w:val="FF0000"/>
          <w:sz w:val="20"/>
          <w:szCs w:val="20"/>
        </w:rPr>
      </w:pPr>
      <w:r w:rsidRPr="00C92E8F">
        <w:rPr>
          <w:sz w:val="20"/>
          <w:szCs w:val="20"/>
        </w:rPr>
        <w:t>Artículo 2</w:t>
      </w:r>
      <w:proofErr w:type="gramStart"/>
      <w:r w:rsidRPr="005763DD">
        <w:rPr>
          <w:color w:val="FF0000"/>
          <w:sz w:val="20"/>
          <w:szCs w:val="20"/>
        </w:rPr>
        <w:t>°.-</w:t>
      </w:r>
      <w:proofErr w:type="gramEnd"/>
      <w:r w:rsidRPr="005763DD">
        <w:rPr>
          <w:color w:val="FF0000"/>
          <w:sz w:val="20"/>
          <w:szCs w:val="20"/>
        </w:rPr>
        <w:t xml:space="preserve"> </w:t>
      </w:r>
      <w:r w:rsidRPr="005763DD">
        <w:rPr>
          <w:b/>
          <w:bCs/>
          <w:color w:val="FF0000"/>
          <w:sz w:val="20"/>
          <w:szCs w:val="20"/>
        </w:rPr>
        <w:t>El importe retenido por los contribuyentes designados como Agentes de Retención del IRE constituirá para el sujeto retenido un pago a cuenta del IRE en el ejercicio fiscal en que le fuera practicada la retención.</w:t>
      </w:r>
    </w:p>
    <w:p w14:paraId="0470CDC2" w14:textId="77777777" w:rsidR="00C92E8F" w:rsidRPr="00C92E8F" w:rsidRDefault="00C92E8F" w:rsidP="00C92E8F">
      <w:pPr>
        <w:spacing w:after="0"/>
        <w:jc w:val="both"/>
        <w:rPr>
          <w:sz w:val="20"/>
          <w:szCs w:val="20"/>
        </w:rPr>
      </w:pPr>
    </w:p>
    <w:p w14:paraId="76923CC7" w14:textId="77777777" w:rsidR="00C92E8F" w:rsidRPr="00C92E8F" w:rsidRDefault="00C92E8F" w:rsidP="00C92E8F">
      <w:pPr>
        <w:spacing w:after="0"/>
        <w:jc w:val="both"/>
        <w:rPr>
          <w:sz w:val="20"/>
          <w:szCs w:val="20"/>
        </w:rPr>
      </w:pPr>
      <w:r w:rsidRPr="00C92E8F">
        <w:rPr>
          <w:sz w:val="20"/>
          <w:szCs w:val="20"/>
        </w:rPr>
        <w:t>Artículo 3</w:t>
      </w:r>
      <w:proofErr w:type="gramStart"/>
      <w:r w:rsidRPr="00C92E8F">
        <w:rPr>
          <w:sz w:val="20"/>
          <w:szCs w:val="20"/>
        </w:rPr>
        <w:t>°.-</w:t>
      </w:r>
      <w:proofErr w:type="gramEnd"/>
      <w:r w:rsidRPr="00C92E8F">
        <w:rPr>
          <w:sz w:val="20"/>
          <w:szCs w:val="20"/>
        </w:rPr>
        <w:t xml:space="preserve"> No se practicará la retención establecida en el artículo 88 del Anexo al Decreto </w:t>
      </w:r>
      <w:proofErr w:type="spellStart"/>
      <w:r w:rsidRPr="00C92E8F">
        <w:rPr>
          <w:sz w:val="20"/>
          <w:szCs w:val="20"/>
        </w:rPr>
        <w:t>N°</w:t>
      </w:r>
      <w:proofErr w:type="spellEnd"/>
      <w:r w:rsidRPr="00C92E8F">
        <w:rPr>
          <w:sz w:val="20"/>
          <w:szCs w:val="20"/>
        </w:rPr>
        <w:t xml:space="preserve"> 3182/2019 a:</w:t>
      </w:r>
    </w:p>
    <w:p w14:paraId="63328C10" w14:textId="77777777" w:rsidR="00C92E8F" w:rsidRPr="004B77BA" w:rsidRDefault="00C92E8F" w:rsidP="004B77BA">
      <w:pPr>
        <w:spacing w:after="0"/>
        <w:ind w:left="708"/>
        <w:jc w:val="both"/>
        <w:rPr>
          <w:b/>
          <w:bCs/>
          <w:sz w:val="20"/>
          <w:szCs w:val="20"/>
        </w:rPr>
      </w:pPr>
      <w:r w:rsidRPr="004B77BA">
        <w:rPr>
          <w:b/>
          <w:bCs/>
          <w:sz w:val="20"/>
          <w:szCs w:val="20"/>
        </w:rPr>
        <w:t xml:space="preserve">- Las personas físicas pequeños productores proveedoras de ganado vacuno en pie, afectadas al régimen especial establecido en el artículo 93 del Anexo al Decreto </w:t>
      </w:r>
      <w:proofErr w:type="spellStart"/>
      <w:r w:rsidRPr="004B77BA">
        <w:rPr>
          <w:b/>
          <w:bCs/>
          <w:sz w:val="20"/>
          <w:szCs w:val="20"/>
        </w:rPr>
        <w:t>N°</w:t>
      </w:r>
      <w:proofErr w:type="spellEnd"/>
      <w:r w:rsidRPr="004B77BA">
        <w:rPr>
          <w:b/>
          <w:bCs/>
          <w:sz w:val="20"/>
          <w:szCs w:val="20"/>
        </w:rPr>
        <w:t xml:space="preserve"> 3182/2019.</w:t>
      </w:r>
    </w:p>
    <w:p w14:paraId="25341FB3" w14:textId="77777777" w:rsidR="00C92E8F" w:rsidRPr="004B77BA" w:rsidRDefault="00C92E8F" w:rsidP="004B77BA">
      <w:pPr>
        <w:spacing w:after="0"/>
        <w:ind w:left="708"/>
        <w:jc w:val="both"/>
        <w:rPr>
          <w:b/>
          <w:bCs/>
          <w:sz w:val="20"/>
          <w:szCs w:val="20"/>
        </w:rPr>
      </w:pPr>
      <w:r w:rsidRPr="004B77BA">
        <w:rPr>
          <w:b/>
          <w:bCs/>
          <w:sz w:val="20"/>
          <w:szCs w:val="20"/>
        </w:rPr>
        <w:t>- Los contribuyentes que liquiden el IRE por el RESIMPLE, que será acreditado con la Boleta RESIMPLE.</w:t>
      </w:r>
    </w:p>
    <w:p w14:paraId="5BB0E05B" w14:textId="77777777" w:rsidR="00C92E8F" w:rsidRPr="00C92E8F" w:rsidRDefault="00C92E8F" w:rsidP="00C92E8F">
      <w:pPr>
        <w:spacing w:after="0"/>
        <w:jc w:val="both"/>
        <w:rPr>
          <w:sz w:val="20"/>
          <w:szCs w:val="20"/>
        </w:rPr>
      </w:pPr>
    </w:p>
    <w:p w14:paraId="2B9BE418" w14:textId="77777777" w:rsidR="00C92E8F" w:rsidRPr="00C92E8F" w:rsidRDefault="00C92E8F" w:rsidP="00C92E8F">
      <w:pPr>
        <w:spacing w:after="0"/>
        <w:jc w:val="both"/>
        <w:rPr>
          <w:sz w:val="20"/>
          <w:szCs w:val="20"/>
        </w:rPr>
      </w:pPr>
      <w:r w:rsidRPr="00C92E8F">
        <w:rPr>
          <w:sz w:val="20"/>
          <w:szCs w:val="20"/>
        </w:rPr>
        <w:t>Artículo 4</w:t>
      </w:r>
      <w:proofErr w:type="gramStart"/>
      <w:r w:rsidRPr="00C92E8F">
        <w:rPr>
          <w:sz w:val="20"/>
          <w:szCs w:val="20"/>
        </w:rPr>
        <w:t>°.-</w:t>
      </w:r>
      <w:proofErr w:type="gramEnd"/>
      <w:r w:rsidRPr="00C92E8F">
        <w:rPr>
          <w:sz w:val="20"/>
          <w:szCs w:val="20"/>
        </w:rPr>
        <w:t xml:space="preserve"> </w:t>
      </w:r>
      <w:r w:rsidRPr="005763DD">
        <w:rPr>
          <w:b/>
          <w:bCs/>
          <w:color w:val="FF0000"/>
          <w:sz w:val="20"/>
          <w:szCs w:val="20"/>
        </w:rPr>
        <w:t>La Administración Tributaria dará de alta la obligación 725 – Retenciones Impuestos a las Rentas (</w:t>
      </w:r>
      <w:proofErr w:type="spellStart"/>
      <w:r w:rsidRPr="005763DD">
        <w:rPr>
          <w:b/>
          <w:bCs/>
          <w:color w:val="FF0000"/>
          <w:sz w:val="20"/>
          <w:szCs w:val="20"/>
        </w:rPr>
        <w:t>Ret</w:t>
      </w:r>
      <w:proofErr w:type="spellEnd"/>
      <w:r w:rsidRPr="005763DD">
        <w:rPr>
          <w:b/>
          <w:bCs/>
          <w:color w:val="FF0000"/>
          <w:sz w:val="20"/>
          <w:szCs w:val="20"/>
        </w:rPr>
        <w:t>. IRE/IRP/INR) al 01/01/2021</w:t>
      </w:r>
      <w:r w:rsidRPr="005763DD">
        <w:rPr>
          <w:color w:val="FF0000"/>
          <w:sz w:val="20"/>
          <w:szCs w:val="20"/>
        </w:rPr>
        <w:t xml:space="preserve"> </w:t>
      </w:r>
      <w:r w:rsidRPr="00C92E8F">
        <w:rPr>
          <w:sz w:val="20"/>
          <w:szCs w:val="20"/>
        </w:rPr>
        <w:t>a los contribuyentes designados en la presente Resolución que aún no cuentan con dicha obligación.</w:t>
      </w:r>
    </w:p>
    <w:p w14:paraId="168A28D0" w14:textId="77777777" w:rsidR="00C92E8F" w:rsidRPr="00C92E8F" w:rsidRDefault="00C92E8F" w:rsidP="00C92E8F">
      <w:pPr>
        <w:spacing w:after="0"/>
        <w:jc w:val="both"/>
        <w:rPr>
          <w:sz w:val="20"/>
          <w:szCs w:val="20"/>
        </w:rPr>
      </w:pPr>
    </w:p>
    <w:p w14:paraId="4D4C80F7" w14:textId="77777777" w:rsidR="00C92E8F" w:rsidRPr="00C92E8F" w:rsidRDefault="00C92E8F" w:rsidP="00C92E8F">
      <w:pPr>
        <w:spacing w:after="0"/>
        <w:jc w:val="both"/>
        <w:rPr>
          <w:sz w:val="20"/>
          <w:szCs w:val="20"/>
        </w:rPr>
      </w:pPr>
      <w:r w:rsidRPr="00C92E8F">
        <w:rPr>
          <w:sz w:val="20"/>
          <w:szCs w:val="20"/>
        </w:rPr>
        <w:t>Artículo 5</w:t>
      </w:r>
      <w:proofErr w:type="gramStart"/>
      <w:r w:rsidRPr="00C92E8F">
        <w:rPr>
          <w:sz w:val="20"/>
          <w:szCs w:val="20"/>
        </w:rPr>
        <w:t>°.-</w:t>
      </w:r>
      <w:proofErr w:type="gramEnd"/>
      <w:r w:rsidRPr="00C92E8F">
        <w:rPr>
          <w:sz w:val="20"/>
          <w:szCs w:val="20"/>
        </w:rPr>
        <w:t xml:space="preserve"> </w:t>
      </w:r>
      <w:r w:rsidRPr="005763DD">
        <w:rPr>
          <w:b/>
          <w:bCs/>
          <w:color w:val="FF0000"/>
          <w:sz w:val="20"/>
          <w:szCs w:val="20"/>
        </w:rPr>
        <w:t>Se constituirán en Agentes de Información, a partir del 01/01/2021</w:t>
      </w:r>
      <w:r w:rsidRPr="00C92E8F">
        <w:rPr>
          <w:sz w:val="20"/>
          <w:szCs w:val="20"/>
        </w:rPr>
        <w:t xml:space="preserve">, aquellos contribuyentes mencionados en el Anexo de la presente Resolución que no cuenten con dicha obligación, por lo que deberán cumplir lo dispuesto en la Resolución General </w:t>
      </w:r>
      <w:proofErr w:type="spellStart"/>
      <w:r w:rsidRPr="00C92E8F">
        <w:rPr>
          <w:sz w:val="20"/>
          <w:szCs w:val="20"/>
        </w:rPr>
        <w:t>N°</w:t>
      </w:r>
      <w:proofErr w:type="spellEnd"/>
      <w:r w:rsidRPr="00C92E8F">
        <w:rPr>
          <w:sz w:val="20"/>
          <w:szCs w:val="20"/>
        </w:rPr>
        <w:t xml:space="preserve"> 48/2014 y sus modificatorias.</w:t>
      </w:r>
    </w:p>
    <w:p w14:paraId="0AFC4F90" w14:textId="77777777" w:rsidR="00C92E8F" w:rsidRPr="00C92E8F" w:rsidRDefault="00C92E8F" w:rsidP="00C92E8F">
      <w:pPr>
        <w:spacing w:after="0"/>
        <w:jc w:val="both"/>
        <w:rPr>
          <w:sz w:val="20"/>
          <w:szCs w:val="20"/>
        </w:rPr>
      </w:pPr>
    </w:p>
    <w:p w14:paraId="0C84F3E6" w14:textId="77777777" w:rsidR="00C92E8F" w:rsidRPr="00C92E8F" w:rsidRDefault="00C92E8F" w:rsidP="00C92E8F">
      <w:pPr>
        <w:spacing w:after="0"/>
        <w:jc w:val="both"/>
        <w:rPr>
          <w:sz w:val="20"/>
          <w:szCs w:val="20"/>
        </w:rPr>
      </w:pPr>
      <w:r w:rsidRPr="00C92E8F">
        <w:rPr>
          <w:sz w:val="20"/>
          <w:szCs w:val="20"/>
        </w:rPr>
        <w:t>Artículo 6</w:t>
      </w:r>
      <w:proofErr w:type="gramStart"/>
      <w:r w:rsidRPr="00C92E8F">
        <w:rPr>
          <w:sz w:val="20"/>
          <w:szCs w:val="20"/>
        </w:rPr>
        <w:t>°.-</w:t>
      </w:r>
      <w:proofErr w:type="gramEnd"/>
      <w:r w:rsidRPr="00C92E8F">
        <w:rPr>
          <w:sz w:val="20"/>
          <w:szCs w:val="20"/>
        </w:rPr>
        <w:t xml:space="preserve"> La presente Resolución entrará en vigencia a partir del 01/01/2021.</w:t>
      </w:r>
    </w:p>
    <w:p w14:paraId="638D74F3" w14:textId="77777777" w:rsidR="00C92E8F" w:rsidRPr="00C92E8F" w:rsidRDefault="00C92E8F" w:rsidP="00C92E8F">
      <w:pPr>
        <w:spacing w:after="0"/>
        <w:jc w:val="both"/>
        <w:rPr>
          <w:sz w:val="20"/>
          <w:szCs w:val="20"/>
        </w:rPr>
      </w:pPr>
    </w:p>
    <w:p w14:paraId="44CC8989" w14:textId="77777777" w:rsidR="00C92E8F" w:rsidRPr="00C92E8F" w:rsidRDefault="00C92E8F" w:rsidP="00C92E8F">
      <w:pPr>
        <w:spacing w:after="0"/>
        <w:jc w:val="both"/>
        <w:rPr>
          <w:sz w:val="20"/>
          <w:szCs w:val="20"/>
        </w:rPr>
      </w:pPr>
      <w:r w:rsidRPr="00C92E8F">
        <w:rPr>
          <w:sz w:val="20"/>
          <w:szCs w:val="20"/>
        </w:rPr>
        <w:t>Artículo 7</w:t>
      </w:r>
      <w:proofErr w:type="gramStart"/>
      <w:r w:rsidRPr="00C92E8F">
        <w:rPr>
          <w:sz w:val="20"/>
          <w:szCs w:val="20"/>
        </w:rPr>
        <w:t>°.-</w:t>
      </w:r>
      <w:proofErr w:type="gramEnd"/>
      <w:r w:rsidRPr="00C92E8F">
        <w:rPr>
          <w:sz w:val="20"/>
          <w:szCs w:val="20"/>
        </w:rPr>
        <w:t xml:space="preserve"> Publicar, comunicar a quienes corresponda y cumplido archivar.</w:t>
      </w:r>
    </w:p>
    <w:p w14:paraId="75C51EE3" w14:textId="77777777" w:rsidR="00C92E8F" w:rsidRPr="00C92E8F" w:rsidRDefault="00C92E8F" w:rsidP="00C92E8F">
      <w:pPr>
        <w:spacing w:after="0"/>
        <w:jc w:val="both"/>
        <w:rPr>
          <w:sz w:val="20"/>
          <w:szCs w:val="20"/>
        </w:rPr>
      </w:pPr>
    </w:p>
    <w:p w14:paraId="5DC17E49" w14:textId="263EEDAB" w:rsidR="00C92E8F" w:rsidRDefault="00C92E8F" w:rsidP="00C92E8F">
      <w:pPr>
        <w:spacing w:after="0"/>
        <w:jc w:val="both"/>
        <w:rPr>
          <w:sz w:val="20"/>
          <w:szCs w:val="20"/>
        </w:rPr>
      </w:pPr>
      <w:r w:rsidRPr="00C92E8F">
        <w:rPr>
          <w:sz w:val="20"/>
          <w:szCs w:val="20"/>
        </w:rPr>
        <w:t>OSCAR ALCIDES ORUÉ ORTÍZ. Viceministro de Tributación</w:t>
      </w:r>
    </w:p>
    <w:p w14:paraId="76956998" w14:textId="77777777" w:rsidR="00C92E8F" w:rsidRPr="00C92E8F" w:rsidRDefault="00C92E8F" w:rsidP="00C92E8F">
      <w:pPr>
        <w:spacing w:after="0"/>
        <w:jc w:val="both"/>
        <w:rPr>
          <w:sz w:val="20"/>
          <w:szCs w:val="20"/>
        </w:rPr>
      </w:pPr>
    </w:p>
    <w:sectPr w:rsidR="00C92E8F" w:rsidRPr="00C92E8F" w:rsidSect="00C92E8F">
      <w:pgSz w:w="11906" w:h="16838"/>
      <w:pgMar w:top="993" w:right="1701"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12EE4"/>
    <w:multiLevelType w:val="multilevel"/>
    <w:tmpl w:val="BC9429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9386721"/>
    <w:multiLevelType w:val="multilevel"/>
    <w:tmpl w:val="39A60912"/>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35456732">
    <w:abstractNumId w:val="0"/>
  </w:num>
  <w:num w:numId="2" w16cid:durableId="1024016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E8F"/>
    <w:rsid w:val="004B77BA"/>
    <w:rsid w:val="005763DD"/>
    <w:rsid w:val="00627107"/>
    <w:rsid w:val="00897AA7"/>
    <w:rsid w:val="00A6280B"/>
    <w:rsid w:val="00B5562E"/>
    <w:rsid w:val="00C92E8F"/>
    <w:rsid w:val="00D74C77"/>
    <w:rsid w:val="00EC064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CA9A"/>
  <w15:chartTrackingRefBased/>
  <w15:docId w15:val="{29312996-1E09-43F8-9480-EBCDD3F99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autoRedefine/>
    <w:uiPriority w:val="9"/>
    <w:unhideWhenUsed/>
    <w:qFormat/>
    <w:rsid w:val="00EC064C"/>
    <w:pPr>
      <w:keepNext/>
      <w:keepLines/>
      <w:numPr>
        <w:numId w:val="2"/>
      </w:numPr>
      <w:shd w:val="clear" w:color="auto" w:fill="FFF2CC" w:themeFill="accent4" w:themeFillTint="33"/>
      <w:spacing w:before="80" w:after="0" w:line="240" w:lineRule="auto"/>
      <w:ind w:left="360" w:hanging="360"/>
      <w:contextualSpacing/>
      <w:outlineLvl w:val="1"/>
    </w:pPr>
    <w:rPr>
      <w:rFonts w:asciiTheme="majorHAnsi" w:eastAsiaTheme="majorEastAsia" w:hAnsiTheme="majorHAnsi" w:cstheme="majorBidi"/>
      <w:bCs/>
      <w:sz w:val="24"/>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C064C"/>
    <w:rPr>
      <w:rFonts w:asciiTheme="majorHAnsi" w:eastAsiaTheme="majorEastAsia" w:hAnsiTheme="majorHAnsi" w:cstheme="majorBidi"/>
      <w:bCs/>
      <w:sz w:val="24"/>
      <w:szCs w:val="28"/>
      <w:shd w:val="clear" w:color="auto" w:fill="FFF2CC" w:themeFill="accent4" w:themeFillTint="33"/>
      <w:lang w:val="es-ES"/>
    </w:rPr>
  </w:style>
  <w:style w:type="paragraph" w:customStyle="1" w:styleId="Estilo3">
    <w:name w:val="Estilo3"/>
    <w:basedOn w:val="Normal"/>
    <w:link w:val="Estilo3Car"/>
    <w:qFormat/>
    <w:rsid w:val="00B5562E"/>
    <w:pPr>
      <w:shd w:val="clear" w:color="auto" w:fill="002060"/>
      <w:spacing w:after="200" w:line="288" w:lineRule="auto"/>
      <w:jc w:val="right"/>
    </w:pPr>
    <w:rPr>
      <w:b/>
      <w:bCs/>
      <w:sz w:val="24"/>
      <w:szCs w:val="24"/>
    </w:rPr>
  </w:style>
  <w:style w:type="character" w:customStyle="1" w:styleId="Estilo3Car">
    <w:name w:val="Estilo3 Car"/>
    <w:basedOn w:val="Fuentedeprrafopredeter"/>
    <w:link w:val="Estilo3"/>
    <w:rsid w:val="00B5562E"/>
    <w:rPr>
      <w:b/>
      <w:bCs/>
      <w:sz w:val="24"/>
      <w:szCs w:val="24"/>
      <w:shd w:val="clear" w:color="auto" w:fil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1207</Words>
  <Characters>6639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Mariel</dc:creator>
  <cp:keywords/>
  <dc:description/>
  <cp:lastModifiedBy>Viviana Mariel Sanabria Vazquez</cp:lastModifiedBy>
  <cp:revision>2</cp:revision>
  <dcterms:created xsi:type="dcterms:W3CDTF">2022-07-16T15:03:00Z</dcterms:created>
  <dcterms:modified xsi:type="dcterms:W3CDTF">2022-07-16T15:03:00Z</dcterms:modified>
</cp:coreProperties>
</file>