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9357FC" w14:textId="46705E53" w:rsidR="00607A9E" w:rsidRPr="00607A9E" w:rsidRDefault="00607A9E" w:rsidP="00607A9E">
      <w:pPr>
        <w:shd w:val="clear" w:color="auto" w:fill="FFFFFF"/>
        <w:spacing w:after="0" w:line="240" w:lineRule="auto"/>
        <w:jc w:val="center"/>
        <w:rPr>
          <w:rFonts w:ascii="Calibri" w:eastAsia="Times New Roman" w:hAnsi="Calibri" w:cs="Calibri"/>
          <w:color w:val="333333"/>
          <w:sz w:val="20"/>
          <w:szCs w:val="20"/>
          <w:lang w:eastAsia="es-PY"/>
        </w:rPr>
      </w:pPr>
      <w:r w:rsidRPr="00607A9E">
        <w:rPr>
          <w:rFonts w:ascii="Calibri" w:eastAsia="Times New Roman" w:hAnsi="Calibri" w:cs="Calibri"/>
          <w:b/>
          <w:bCs/>
          <w:color w:val="333333"/>
          <w:sz w:val="20"/>
          <w:szCs w:val="20"/>
          <w:lang w:val="es-ES" w:eastAsia="es-PY"/>
        </w:rPr>
        <w:t xml:space="preserve">RESOLUCIÓN GENERAL </w:t>
      </w:r>
      <w:proofErr w:type="spellStart"/>
      <w:r w:rsidRPr="00607A9E">
        <w:rPr>
          <w:rFonts w:ascii="Calibri" w:eastAsia="Times New Roman" w:hAnsi="Calibri" w:cs="Calibri"/>
          <w:b/>
          <w:bCs/>
          <w:color w:val="333333"/>
          <w:sz w:val="20"/>
          <w:szCs w:val="20"/>
          <w:lang w:val="es-ES" w:eastAsia="es-PY"/>
        </w:rPr>
        <w:t>N°</w:t>
      </w:r>
      <w:proofErr w:type="spellEnd"/>
      <w:r w:rsidRPr="00607A9E">
        <w:rPr>
          <w:rFonts w:ascii="Calibri" w:eastAsia="Times New Roman" w:hAnsi="Calibri" w:cs="Calibri"/>
          <w:b/>
          <w:bCs/>
          <w:color w:val="333333"/>
          <w:sz w:val="20"/>
          <w:szCs w:val="20"/>
          <w:lang w:val="es-ES" w:eastAsia="es-PY"/>
        </w:rPr>
        <w:t xml:space="preserve"> 100</w:t>
      </w:r>
      <w:r>
        <w:rPr>
          <w:rFonts w:ascii="Calibri" w:eastAsia="Times New Roman" w:hAnsi="Calibri" w:cs="Calibri"/>
          <w:b/>
          <w:bCs/>
          <w:color w:val="333333"/>
          <w:sz w:val="20"/>
          <w:szCs w:val="20"/>
          <w:lang w:val="es-ES" w:eastAsia="es-PY"/>
        </w:rPr>
        <w:t>/2021</w:t>
      </w:r>
    </w:p>
    <w:p w14:paraId="25A34161" w14:textId="77777777" w:rsidR="00607A9E" w:rsidRPr="00607A9E" w:rsidRDefault="00607A9E" w:rsidP="00607A9E">
      <w:pPr>
        <w:shd w:val="clear" w:color="auto" w:fill="FFFFFF"/>
        <w:spacing w:after="0" w:line="240" w:lineRule="auto"/>
        <w:jc w:val="center"/>
        <w:rPr>
          <w:rFonts w:ascii="Calibri" w:eastAsia="Times New Roman" w:hAnsi="Calibri" w:cs="Calibri"/>
          <w:color w:val="333333"/>
          <w:sz w:val="20"/>
          <w:szCs w:val="20"/>
          <w:lang w:eastAsia="es-PY"/>
        </w:rPr>
      </w:pPr>
      <w:r w:rsidRPr="00607A9E">
        <w:rPr>
          <w:rFonts w:ascii="Calibri" w:eastAsia="Times New Roman" w:hAnsi="Calibri" w:cs="Calibri"/>
          <w:color w:val="333333"/>
          <w:sz w:val="20"/>
          <w:szCs w:val="20"/>
          <w:lang w:eastAsia="es-PY"/>
        </w:rPr>
        <w:t> </w:t>
      </w:r>
    </w:p>
    <w:p w14:paraId="030FF032" w14:textId="77777777" w:rsidR="00607A9E" w:rsidRPr="00607A9E" w:rsidRDefault="00607A9E" w:rsidP="00607A9E">
      <w:pPr>
        <w:shd w:val="clear" w:color="auto" w:fill="FFFFFF"/>
        <w:spacing w:line="240" w:lineRule="auto"/>
        <w:jc w:val="center"/>
        <w:rPr>
          <w:rFonts w:ascii="Calibri" w:eastAsia="Times New Roman" w:hAnsi="Calibri" w:cs="Calibri"/>
          <w:color w:val="333333"/>
          <w:sz w:val="20"/>
          <w:szCs w:val="20"/>
          <w:lang w:eastAsia="es-PY"/>
        </w:rPr>
      </w:pPr>
      <w:r w:rsidRPr="00607A9E">
        <w:rPr>
          <w:rFonts w:ascii="Calibri" w:eastAsia="Times New Roman" w:hAnsi="Calibri" w:cs="Calibri"/>
          <w:b/>
          <w:bCs/>
          <w:color w:val="333333"/>
          <w:sz w:val="20"/>
          <w:szCs w:val="20"/>
          <w:lang w:val="es-ES" w:eastAsia="es-PY"/>
        </w:rPr>
        <w:t>POR LA CUAL SE DESIGNAN AGENTES DE RETENCIÓN Y SE ACLARAN ALGUNAS DISPOSICIONES RELATIVAS AL IMPUESTO A LA RENTA PERSONAL</w:t>
      </w:r>
    </w:p>
    <w:p w14:paraId="157E6C5C" w14:textId="77777777" w:rsidR="00607A9E" w:rsidRPr="00607A9E" w:rsidRDefault="00607A9E" w:rsidP="00607A9E">
      <w:pPr>
        <w:shd w:val="clear" w:color="auto" w:fill="FFFFFF"/>
        <w:spacing w:line="240" w:lineRule="auto"/>
        <w:jc w:val="center"/>
        <w:rPr>
          <w:rFonts w:ascii="Calibri" w:eastAsia="Times New Roman" w:hAnsi="Calibri" w:cs="Calibri"/>
          <w:color w:val="333333"/>
          <w:sz w:val="20"/>
          <w:szCs w:val="20"/>
          <w:lang w:eastAsia="es-PY"/>
        </w:rPr>
      </w:pPr>
      <w:r w:rsidRPr="00607A9E">
        <w:rPr>
          <w:rFonts w:ascii="Calibri" w:eastAsia="Times New Roman" w:hAnsi="Calibri" w:cs="Calibri"/>
          <w:color w:val="333333"/>
          <w:sz w:val="20"/>
          <w:szCs w:val="20"/>
          <w:lang w:eastAsia="es-PY"/>
        </w:rPr>
        <w:t> </w:t>
      </w:r>
    </w:p>
    <w:p w14:paraId="2E0FAFC3" w14:textId="77777777" w:rsidR="00607A9E" w:rsidRPr="00607A9E" w:rsidRDefault="00607A9E" w:rsidP="00607A9E">
      <w:pPr>
        <w:shd w:val="clear" w:color="auto" w:fill="FFFFFF"/>
        <w:spacing w:line="240" w:lineRule="auto"/>
        <w:jc w:val="right"/>
        <w:rPr>
          <w:rFonts w:ascii="Calibri" w:eastAsia="Times New Roman" w:hAnsi="Calibri" w:cs="Calibri"/>
          <w:color w:val="333333"/>
          <w:sz w:val="20"/>
          <w:szCs w:val="20"/>
          <w:lang w:eastAsia="es-PY"/>
        </w:rPr>
      </w:pPr>
      <w:r w:rsidRPr="00607A9E">
        <w:rPr>
          <w:rFonts w:ascii="Calibri" w:eastAsia="Times New Roman" w:hAnsi="Calibri" w:cs="Calibri"/>
          <w:color w:val="333333"/>
          <w:sz w:val="20"/>
          <w:szCs w:val="20"/>
          <w:lang w:val="es-ES" w:eastAsia="es-PY"/>
        </w:rPr>
        <w:t>                                                   Asunción, 20 de octubre de 2021.</w:t>
      </w:r>
    </w:p>
    <w:tbl>
      <w:tblPr>
        <w:tblpPr w:leftFromText="141" w:rightFromText="141" w:vertAnchor="text"/>
        <w:tblW w:w="9356" w:type="dxa"/>
        <w:tblCellMar>
          <w:left w:w="0" w:type="dxa"/>
          <w:right w:w="0" w:type="dxa"/>
        </w:tblCellMar>
        <w:tblLook w:val="04A0" w:firstRow="1" w:lastRow="0" w:firstColumn="1" w:lastColumn="0" w:noHBand="0" w:noVBand="1"/>
      </w:tblPr>
      <w:tblGrid>
        <w:gridCol w:w="1557"/>
        <w:gridCol w:w="88"/>
        <w:gridCol w:w="7711"/>
      </w:tblGrid>
      <w:tr w:rsidR="00607A9E" w:rsidRPr="00607A9E" w14:paraId="047DFB51" w14:textId="77777777" w:rsidTr="00607A9E">
        <w:tc>
          <w:tcPr>
            <w:tcW w:w="0" w:type="auto"/>
            <w:gridSpan w:val="2"/>
            <w:shd w:val="clear" w:color="auto" w:fill="auto"/>
            <w:tcMar>
              <w:top w:w="0" w:type="dxa"/>
              <w:left w:w="108" w:type="dxa"/>
              <w:bottom w:w="0" w:type="dxa"/>
              <w:right w:w="108" w:type="dxa"/>
            </w:tcMar>
            <w:hideMark/>
          </w:tcPr>
          <w:p w14:paraId="2AD68802" w14:textId="77777777" w:rsidR="00607A9E" w:rsidRPr="00607A9E" w:rsidRDefault="00607A9E" w:rsidP="00607A9E">
            <w:pPr>
              <w:spacing w:line="240" w:lineRule="auto"/>
              <w:rPr>
                <w:rFonts w:ascii="Times New Roman" w:eastAsia="Times New Roman" w:hAnsi="Times New Roman" w:cs="Times New Roman"/>
                <w:sz w:val="24"/>
                <w:szCs w:val="24"/>
                <w:lang w:eastAsia="es-PY"/>
              </w:rPr>
            </w:pPr>
            <w:r w:rsidRPr="00607A9E">
              <w:rPr>
                <w:rFonts w:ascii="Calibri" w:eastAsia="Times New Roman" w:hAnsi="Calibri" w:cs="Calibri"/>
                <w:b/>
                <w:bCs/>
                <w:sz w:val="20"/>
                <w:szCs w:val="20"/>
                <w:lang w:val="es-ES" w:eastAsia="es-PY"/>
              </w:rPr>
              <w:t>VISTO:</w:t>
            </w:r>
          </w:p>
        </w:tc>
        <w:tc>
          <w:tcPr>
            <w:tcW w:w="7711" w:type="dxa"/>
            <w:shd w:val="clear" w:color="auto" w:fill="auto"/>
            <w:tcMar>
              <w:top w:w="0" w:type="dxa"/>
              <w:left w:w="108" w:type="dxa"/>
              <w:bottom w:w="0" w:type="dxa"/>
              <w:right w:w="108" w:type="dxa"/>
            </w:tcMar>
            <w:hideMark/>
          </w:tcPr>
          <w:p w14:paraId="032C891A"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 xml:space="preserve">El Libro V de la Ley </w:t>
            </w:r>
            <w:proofErr w:type="spellStart"/>
            <w:r w:rsidRPr="00607A9E">
              <w:rPr>
                <w:rFonts w:ascii="Calibri" w:eastAsia="Times New Roman" w:hAnsi="Calibri" w:cs="Calibri"/>
                <w:sz w:val="20"/>
                <w:szCs w:val="20"/>
                <w:lang w:val="es-ES" w:eastAsia="es-PY"/>
              </w:rPr>
              <w:t>N°</w:t>
            </w:r>
            <w:proofErr w:type="spellEnd"/>
            <w:r w:rsidRPr="00607A9E">
              <w:rPr>
                <w:rFonts w:ascii="Calibri" w:eastAsia="Times New Roman" w:hAnsi="Calibri" w:cs="Calibri"/>
                <w:sz w:val="20"/>
                <w:szCs w:val="20"/>
                <w:lang w:val="es-ES" w:eastAsia="es-PY"/>
              </w:rPr>
              <w:t xml:space="preserve"> 125/1991 «Que establece el Nuevo Régimen Tributarios»</w:t>
            </w:r>
            <w:r w:rsidRPr="00607A9E">
              <w:rPr>
                <w:rFonts w:ascii="Calibri" w:eastAsia="Times New Roman" w:hAnsi="Calibri" w:cs="Calibri"/>
                <w:i/>
                <w:iCs/>
                <w:sz w:val="20"/>
                <w:szCs w:val="20"/>
                <w:lang w:val="es-ES" w:eastAsia="es-PY"/>
              </w:rPr>
              <w:t> </w:t>
            </w:r>
            <w:r w:rsidRPr="00607A9E">
              <w:rPr>
                <w:rFonts w:ascii="Calibri" w:eastAsia="Times New Roman" w:hAnsi="Calibri" w:cs="Calibri"/>
                <w:sz w:val="20"/>
                <w:szCs w:val="20"/>
                <w:lang w:val="es-ES" w:eastAsia="es-PY"/>
              </w:rPr>
              <w:t>y sus modificaciones;</w:t>
            </w:r>
          </w:p>
          <w:p w14:paraId="5E944BC9"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 xml:space="preserve">La Ley </w:t>
            </w:r>
            <w:proofErr w:type="spellStart"/>
            <w:r w:rsidRPr="00607A9E">
              <w:rPr>
                <w:rFonts w:ascii="Calibri" w:eastAsia="Times New Roman" w:hAnsi="Calibri" w:cs="Calibri"/>
                <w:sz w:val="20"/>
                <w:szCs w:val="20"/>
                <w:lang w:val="es-ES" w:eastAsia="es-PY"/>
              </w:rPr>
              <w:t>N°</w:t>
            </w:r>
            <w:proofErr w:type="spellEnd"/>
            <w:r w:rsidRPr="00607A9E">
              <w:rPr>
                <w:rFonts w:ascii="Calibri" w:eastAsia="Times New Roman" w:hAnsi="Calibri" w:cs="Calibri"/>
                <w:sz w:val="20"/>
                <w:szCs w:val="20"/>
                <w:lang w:val="es-ES" w:eastAsia="es-PY"/>
              </w:rPr>
              <w:t xml:space="preserve"> 6380/2019 «De Modernización y Simplificación del Sistema Tributario Nacional»;</w:t>
            </w:r>
          </w:p>
          <w:p w14:paraId="7A2C57B4"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 xml:space="preserve">El Decreto </w:t>
            </w:r>
            <w:proofErr w:type="spellStart"/>
            <w:r w:rsidRPr="00607A9E">
              <w:rPr>
                <w:rFonts w:ascii="Calibri" w:eastAsia="Times New Roman" w:hAnsi="Calibri" w:cs="Calibri"/>
                <w:sz w:val="20"/>
                <w:szCs w:val="20"/>
                <w:lang w:val="es-ES" w:eastAsia="es-PY"/>
              </w:rPr>
              <w:t>N°</w:t>
            </w:r>
            <w:proofErr w:type="spellEnd"/>
            <w:r w:rsidRPr="00607A9E">
              <w:rPr>
                <w:rFonts w:ascii="Calibri" w:eastAsia="Times New Roman" w:hAnsi="Calibri" w:cs="Calibri"/>
                <w:sz w:val="20"/>
                <w:szCs w:val="20"/>
                <w:lang w:val="es-ES" w:eastAsia="es-PY"/>
              </w:rPr>
              <w:t xml:space="preserve"> 2787/2019 «Por el cual se establece la vigencia de las disposiciones contenidas en la Ley </w:t>
            </w:r>
            <w:proofErr w:type="spellStart"/>
            <w:r w:rsidRPr="00607A9E">
              <w:rPr>
                <w:rFonts w:ascii="Calibri" w:eastAsia="Times New Roman" w:hAnsi="Calibri" w:cs="Calibri"/>
                <w:sz w:val="20"/>
                <w:szCs w:val="20"/>
                <w:lang w:val="es-ES" w:eastAsia="es-PY"/>
              </w:rPr>
              <w:t>N°</w:t>
            </w:r>
            <w:proofErr w:type="spellEnd"/>
            <w:r w:rsidRPr="00607A9E">
              <w:rPr>
                <w:rFonts w:ascii="Calibri" w:eastAsia="Times New Roman" w:hAnsi="Calibri" w:cs="Calibri"/>
                <w:sz w:val="20"/>
                <w:szCs w:val="20"/>
                <w:lang w:val="es-ES" w:eastAsia="es-PY"/>
              </w:rPr>
              <w:t xml:space="preserve"> 6380, del 25 de setiembre de 2019, “De Modernización y Simplificación del Sistema Tributario Nacional”»;</w:t>
            </w:r>
          </w:p>
          <w:p w14:paraId="122D84A3"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 xml:space="preserve">El Decreto </w:t>
            </w:r>
            <w:proofErr w:type="spellStart"/>
            <w:r w:rsidRPr="00607A9E">
              <w:rPr>
                <w:rFonts w:ascii="Calibri" w:eastAsia="Times New Roman" w:hAnsi="Calibri" w:cs="Calibri"/>
                <w:sz w:val="20"/>
                <w:szCs w:val="20"/>
                <w:lang w:val="es-ES" w:eastAsia="es-PY"/>
              </w:rPr>
              <w:t>N°</w:t>
            </w:r>
            <w:proofErr w:type="spellEnd"/>
            <w:r w:rsidRPr="00607A9E">
              <w:rPr>
                <w:rFonts w:ascii="Calibri" w:eastAsia="Times New Roman" w:hAnsi="Calibri" w:cs="Calibri"/>
                <w:sz w:val="20"/>
                <w:szCs w:val="20"/>
                <w:lang w:val="es-ES" w:eastAsia="es-PY"/>
              </w:rPr>
              <w:t xml:space="preserve"> 3184/2019 «Por el cual se reglamenta el Impuesto a la Renta Personal establecido en la Ley </w:t>
            </w:r>
            <w:proofErr w:type="spellStart"/>
            <w:r w:rsidRPr="00607A9E">
              <w:rPr>
                <w:rFonts w:ascii="Calibri" w:eastAsia="Times New Roman" w:hAnsi="Calibri" w:cs="Calibri"/>
                <w:sz w:val="20"/>
                <w:szCs w:val="20"/>
                <w:lang w:val="es-ES" w:eastAsia="es-PY"/>
              </w:rPr>
              <w:t>N°</w:t>
            </w:r>
            <w:proofErr w:type="spellEnd"/>
            <w:r w:rsidRPr="00607A9E">
              <w:rPr>
                <w:rFonts w:ascii="Calibri" w:eastAsia="Times New Roman" w:hAnsi="Calibri" w:cs="Calibri"/>
                <w:sz w:val="20"/>
                <w:szCs w:val="20"/>
                <w:lang w:val="es-ES" w:eastAsia="es-PY"/>
              </w:rPr>
              <w:t xml:space="preserve"> 6380/2019, “De Modernización y Simplificación del Sistema Tributario Nacional”»;</w:t>
            </w:r>
          </w:p>
          <w:p w14:paraId="77461895"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 xml:space="preserve">La Resolución General </w:t>
            </w:r>
            <w:proofErr w:type="spellStart"/>
            <w:r w:rsidRPr="00607A9E">
              <w:rPr>
                <w:rFonts w:ascii="Calibri" w:eastAsia="Times New Roman" w:hAnsi="Calibri" w:cs="Calibri"/>
                <w:sz w:val="20"/>
                <w:szCs w:val="20"/>
                <w:lang w:val="es-ES" w:eastAsia="es-PY"/>
              </w:rPr>
              <w:t>N°</w:t>
            </w:r>
            <w:proofErr w:type="spellEnd"/>
            <w:r w:rsidRPr="00607A9E">
              <w:rPr>
                <w:rFonts w:ascii="Calibri" w:eastAsia="Times New Roman" w:hAnsi="Calibri" w:cs="Calibri"/>
                <w:sz w:val="20"/>
                <w:szCs w:val="20"/>
                <w:lang w:val="es-ES" w:eastAsia="es-PY"/>
              </w:rPr>
              <w:t xml:space="preserve"> 69/2020 «Por la cual se reglamentan las disposiciones relativas al Impuesto a la Renta Personal (IRP) y se aprueban los formularios de declaraciones juradas»; y</w:t>
            </w:r>
          </w:p>
          <w:p w14:paraId="572A153F"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Times New Roman" w:eastAsia="Times New Roman" w:hAnsi="Times New Roman" w:cs="Times New Roman"/>
                <w:sz w:val="24"/>
                <w:szCs w:val="24"/>
                <w:lang w:eastAsia="es-PY"/>
              </w:rPr>
              <w:t> </w:t>
            </w:r>
          </w:p>
        </w:tc>
      </w:tr>
      <w:tr w:rsidR="00607A9E" w:rsidRPr="00607A9E" w14:paraId="179914D5" w14:textId="77777777" w:rsidTr="00607A9E">
        <w:tc>
          <w:tcPr>
            <w:tcW w:w="0" w:type="auto"/>
            <w:gridSpan w:val="2"/>
            <w:shd w:val="clear" w:color="auto" w:fill="auto"/>
            <w:tcMar>
              <w:top w:w="0" w:type="dxa"/>
              <w:left w:w="108" w:type="dxa"/>
              <w:bottom w:w="0" w:type="dxa"/>
              <w:right w:w="108" w:type="dxa"/>
            </w:tcMar>
            <w:hideMark/>
          </w:tcPr>
          <w:p w14:paraId="701EF557" w14:textId="77777777" w:rsidR="00607A9E" w:rsidRPr="00607A9E" w:rsidRDefault="00607A9E" w:rsidP="00607A9E">
            <w:pPr>
              <w:spacing w:line="240" w:lineRule="auto"/>
              <w:rPr>
                <w:rFonts w:ascii="Times New Roman" w:eastAsia="Times New Roman" w:hAnsi="Times New Roman" w:cs="Times New Roman"/>
                <w:sz w:val="24"/>
                <w:szCs w:val="24"/>
                <w:lang w:eastAsia="es-PY"/>
              </w:rPr>
            </w:pPr>
            <w:r w:rsidRPr="00607A9E">
              <w:rPr>
                <w:rFonts w:ascii="Calibri" w:eastAsia="Times New Roman" w:hAnsi="Calibri" w:cs="Calibri"/>
                <w:b/>
                <w:bCs/>
                <w:sz w:val="20"/>
                <w:szCs w:val="20"/>
                <w:lang w:val="es-ES" w:eastAsia="es-PY"/>
              </w:rPr>
              <w:t>CONSIDERANDO:</w:t>
            </w:r>
          </w:p>
        </w:tc>
        <w:tc>
          <w:tcPr>
            <w:tcW w:w="7711" w:type="dxa"/>
            <w:shd w:val="clear" w:color="auto" w:fill="auto"/>
            <w:tcMar>
              <w:top w:w="0" w:type="dxa"/>
              <w:left w:w="108" w:type="dxa"/>
              <w:bottom w:w="0" w:type="dxa"/>
              <w:right w:w="108" w:type="dxa"/>
            </w:tcMar>
            <w:hideMark/>
          </w:tcPr>
          <w:p w14:paraId="6EB6FD2B"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Que las rentas y ganancias de capital constituyen rentas en dinero o en especie que provienen directa o indirectamente del patrimonio, de bienes o derechos, cuya titularidad corresponda al contribuyente del Impuesto a la Renta Personal por Rentas y Ganancias del Capital.</w:t>
            </w:r>
          </w:p>
          <w:p w14:paraId="7D1B507B"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 xml:space="preserve">Que, con el objetivo de que no existan dudas ni controversias en el cumplimiento voluntario de la obligación tributaria derivada de la generación de las rentas mencionadas en el párrafo anterior por parte de los contribuyentes, resulta necesario aclarar los artículos 15 y 17 del Anexo al Decreto </w:t>
            </w:r>
            <w:proofErr w:type="spellStart"/>
            <w:r w:rsidRPr="00607A9E">
              <w:rPr>
                <w:rFonts w:ascii="Calibri" w:eastAsia="Times New Roman" w:hAnsi="Calibri" w:cs="Calibri"/>
                <w:sz w:val="20"/>
                <w:szCs w:val="20"/>
                <w:lang w:val="es-ES" w:eastAsia="es-PY"/>
              </w:rPr>
              <w:t>N°</w:t>
            </w:r>
            <w:proofErr w:type="spellEnd"/>
            <w:r w:rsidRPr="00607A9E">
              <w:rPr>
                <w:rFonts w:ascii="Calibri" w:eastAsia="Times New Roman" w:hAnsi="Calibri" w:cs="Calibri"/>
                <w:sz w:val="20"/>
                <w:szCs w:val="20"/>
                <w:lang w:val="es-ES" w:eastAsia="es-PY"/>
              </w:rPr>
              <w:t xml:space="preserve"> 3184/2019.</w:t>
            </w:r>
          </w:p>
          <w:p w14:paraId="1BEB7440"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 xml:space="preserve">Que, por otra parte, el artículo 240 de la Ley </w:t>
            </w:r>
            <w:proofErr w:type="spellStart"/>
            <w:r w:rsidRPr="00607A9E">
              <w:rPr>
                <w:rFonts w:ascii="Calibri" w:eastAsia="Times New Roman" w:hAnsi="Calibri" w:cs="Calibri"/>
                <w:sz w:val="20"/>
                <w:szCs w:val="20"/>
                <w:lang w:val="es-ES" w:eastAsia="es-PY"/>
              </w:rPr>
              <w:t>N°</w:t>
            </w:r>
            <w:proofErr w:type="spellEnd"/>
            <w:r w:rsidRPr="00607A9E">
              <w:rPr>
                <w:rFonts w:ascii="Calibri" w:eastAsia="Times New Roman" w:hAnsi="Calibri" w:cs="Calibri"/>
                <w:sz w:val="20"/>
                <w:szCs w:val="20"/>
                <w:lang w:val="es-ES" w:eastAsia="es-PY"/>
              </w:rPr>
              <w:t xml:space="preserve"> 125/1991 otorga atribuciones legales a la Administración Tributaria para designar agentes de retención de impuestos a aquellas personas que, por razones de su actividad o profesión, intervengan en operaciones que por sus características y afinidades puedan percibir los mismos.</w:t>
            </w:r>
          </w:p>
          <w:p w14:paraId="32D76E94"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Que la aplicación de la norma señalada se justifica plenamente al facilitar al contribuyente el normal cumplimiento de sus obligaciones impositivas, fin de lograr un mayor dinamismo en la recaudación.</w:t>
            </w:r>
          </w:p>
          <w:p w14:paraId="0DB9E781"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Que el Viceministro de Tributación cuenta con las facultades suficientes para dictar este acto administrativo.</w:t>
            </w:r>
          </w:p>
          <w:p w14:paraId="2FF2FB22"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 xml:space="preserve">Que la Dirección de Planificación y Técnica Tributaria se ha expedido en los términos del Dictamen DEINT/PN </w:t>
            </w:r>
            <w:proofErr w:type="spellStart"/>
            <w:r w:rsidRPr="00607A9E">
              <w:rPr>
                <w:rFonts w:ascii="Calibri" w:eastAsia="Times New Roman" w:hAnsi="Calibri" w:cs="Calibri"/>
                <w:sz w:val="20"/>
                <w:szCs w:val="20"/>
                <w:lang w:val="es-ES" w:eastAsia="es-PY"/>
              </w:rPr>
              <w:t>N°</w:t>
            </w:r>
            <w:proofErr w:type="spellEnd"/>
            <w:r w:rsidRPr="00607A9E">
              <w:rPr>
                <w:rFonts w:ascii="Calibri" w:eastAsia="Times New Roman" w:hAnsi="Calibri" w:cs="Calibri"/>
                <w:sz w:val="20"/>
                <w:szCs w:val="20"/>
                <w:lang w:val="es-ES" w:eastAsia="es-PY"/>
              </w:rPr>
              <w:t xml:space="preserve"> 53 del 13 de octubre de 2021.</w:t>
            </w:r>
          </w:p>
        </w:tc>
      </w:tr>
      <w:tr w:rsidR="00607A9E" w:rsidRPr="00607A9E" w14:paraId="0FBD8964" w14:textId="77777777" w:rsidTr="00607A9E">
        <w:tc>
          <w:tcPr>
            <w:tcW w:w="9356" w:type="dxa"/>
            <w:gridSpan w:val="3"/>
            <w:shd w:val="clear" w:color="auto" w:fill="auto"/>
            <w:tcMar>
              <w:top w:w="0" w:type="dxa"/>
              <w:left w:w="108" w:type="dxa"/>
              <w:bottom w:w="0" w:type="dxa"/>
              <w:right w:w="108" w:type="dxa"/>
            </w:tcMar>
            <w:hideMark/>
          </w:tcPr>
          <w:p w14:paraId="66C0DBCF"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b/>
                <w:bCs/>
                <w:sz w:val="20"/>
                <w:szCs w:val="20"/>
                <w:lang w:val="es-ES" w:eastAsia="es-PY"/>
              </w:rPr>
              <w:t>POR TANTO,</w:t>
            </w:r>
          </w:p>
        </w:tc>
      </w:tr>
      <w:tr w:rsidR="00607A9E" w:rsidRPr="00607A9E" w14:paraId="00E48BF6" w14:textId="77777777" w:rsidTr="00607A9E">
        <w:tc>
          <w:tcPr>
            <w:tcW w:w="9356" w:type="dxa"/>
            <w:gridSpan w:val="3"/>
            <w:shd w:val="clear" w:color="auto" w:fill="auto"/>
            <w:tcMar>
              <w:top w:w="0" w:type="dxa"/>
              <w:left w:w="108" w:type="dxa"/>
              <w:bottom w:w="0" w:type="dxa"/>
              <w:right w:w="108" w:type="dxa"/>
            </w:tcMar>
            <w:hideMark/>
          </w:tcPr>
          <w:p w14:paraId="754C7819" w14:textId="77777777" w:rsidR="00607A9E" w:rsidRPr="00607A9E" w:rsidRDefault="00607A9E" w:rsidP="00607A9E">
            <w:pPr>
              <w:spacing w:line="240" w:lineRule="auto"/>
              <w:jc w:val="center"/>
              <w:rPr>
                <w:rFonts w:ascii="Times New Roman" w:eastAsia="Times New Roman" w:hAnsi="Times New Roman" w:cs="Times New Roman"/>
                <w:sz w:val="24"/>
                <w:szCs w:val="24"/>
                <w:lang w:eastAsia="es-PY"/>
              </w:rPr>
            </w:pPr>
            <w:r w:rsidRPr="00607A9E">
              <w:rPr>
                <w:rFonts w:ascii="Calibri" w:eastAsia="Times New Roman" w:hAnsi="Calibri" w:cs="Calibri"/>
                <w:b/>
                <w:bCs/>
                <w:sz w:val="20"/>
                <w:szCs w:val="20"/>
                <w:lang w:val="es-ES" w:eastAsia="es-PY"/>
              </w:rPr>
              <w:t>EL VICEMINISTRO DE TRIBUTACIÓN</w:t>
            </w:r>
          </w:p>
          <w:p w14:paraId="11A84ED2" w14:textId="77777777" w:rsidR="00607A9E" w:rsidRPr="00607A9E" w:rsidRDefault="00607A9E" w:rsidP="00607A9E">
            <w:pPr>
              <w:spacing w:line="240" w:lineRule="auto"/>
              <w:jc w:val="center"/>
              <w:rPr>
                <w:rFonts w:ascii="Times New Roman" w:eastAsia="Times New Roman" w:hAnsi="Times New Roman" w:cs="Times New Roman"/>
                <w:sz w:val="24"/>
                <w:szCs w:val="24"/>
                <w:lang w:eastAsia="es-PY"/>
              </w:rPr>
            </w:pPr>
            <w:r w:rsidRPr="00607A9E">
              <w:rPr>
                <w:rFonts w:ascii="Calibri" w:eastAsia="Times New Roman" w:hAnsi="Calibri" w:cs="Calibri"/>
                <w:b/>
                <w:bCs/>
                <w:sz w:val="20"/>
                <w:szCs w:val="20"/>
                <w:lang w:val="es-ES" w:eastAsia="es-PY"/>
              </w:rPr>
              <w:t>RESUELVE:</w:t>
            </w:r>
          </w:p>
        </w:tc>
      </w:tr>
      <w:tr w:rsidR="00607A9E" w:rsidRPr="00607A9E" w14:paraId="509917D1" w14:textId="77777777" w:rsidTr="00607A9E">
        <w:tc>
          <w:tcPr>
            <w:tcW w:w="0" w:type="auto"/>
            <w:shd w:val="clear" w:color="auto" w:fill="auto"/>
            <w:tcMar>
              <w:top w:w="0" w:type="dxa"/>
              <w:left w:w="108" w:type="dxa"/>
              <w:bottom w:w="0" w:type="dxa"/>
              <w:right w:w="108" w:type="dxa"/>
            </w:tcMar>
            <w:hideMark/>
          </w:tcPr>
          <w:p w14:paraId="5AD9FC49" w14:textId="77777777" w:rsidR="00607A9E" w:rsidRPr="00607A9E" w:rsidRDefault="00607A9E" w:rsidP="00607A9E">
            <w:pPr>
              <w:spacing w:line="240" w:lineRule="auto"/>
              <w:rPr>
                <w:rFonts w:ascii="Times New Roman" w:eastAsia="Times New Roman" w:hAnsi="Times New Roman" w:cs="Times New Roman"/>
                <w:sz w:val="24"/>
                <w:szCs w:val="24"/>
                <w:lang w:eastAsia="es-PY"/>
              </w:rPr>
            </w:pPr>
            <w:r w:rsidRPr="00607A9E">
              <w:rPr>
                <w:rFonts w:ascii="Calibri" w:eastAsia="Times New Roman" w:hAnsi="Calibri" w:cs="Calibri"/>
                <w:b/>
                <w:bCs/>
                <w:sz w:val="20"/>
                <w:szCs w:val="20"/>
                <w:lang w:val="es-ES" w:eastAsia="es-PY"/>
              </w:rPr>
              <w:t>Artículo 1°. -</w:t>
            </w:r>
          </w:p>
          <w:p w14:paraId="77B064E5" w14:textId="77777777" w:rsidR="00607A9E" w:rsidRPr="00607A9E" w:rsidRDefault="00607A9E" w:rsidP="00607A9E">
            <w:pPr>
              <w:spacing w:line="240" w:lineRule="auto"/>
              <w:rPr>
                <w:rFonts w:ascii="Times New Roman" w:eastAsia="Times New Roman" w:hAnsi="Times New Roman" w:cs="Times New Roman"/>
                <w:sz w:val="24"/>
                <w:szCs w:val="24"/>
                <w:lang w:eastAsia="es-PY"/>
              </w:rPr>
            </w:pPr>
            <w:r w:rsidRPr="00607A9E">
              <w:rPr>
                <w:rFonts w:ascii="Times New Roman" w:eastAsia="Times New Roman" w:hAnsi="Times New Roman" w:cs="Times New Roman"/>
                <w:sz w:val="24"/>
                <w:szCs w:val="24"/>
                <w:lang w:eastAsia="es-PY"/>
              </w:rPr>
              <w:t> </w:t>
            </w:r>
          </w:p>
        </w:tc>
        <w:tc>
          <w:tcPr>
            <w:tcW w:w="7801" w:type="dxa"/>
            <w:gridSpan w:val="2"/>
            <w:shd w:val="clear" w:color="auto" w:fill="auto"/>
            <w:tcMar>
              <w:top w:w="0" w:type="dxa"/>
              <w:left w:w="108" w:type="dxa"/>
              <w:bottom w:w="0" w:type="dxa"/>
              <w:right w:w="108" w:type="dxa"/>
            </w:tcMar>
            <w:hideMark/>
          </w:tcPr>
          <w:p w14:paraId="451B8B78"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b/>
                <w:bCs/>
                <w:sz w:val="20"/>
                <w:szCs w:val="20"/>
                <w:lang w:val="es-ES" w:eastAsia="es-PY"/>
              </w:rPr>
              <w:t>Agentes de Retención</w:t>
            </w:r>
          </w:p>
          <w:p w14:paraId="4CC2522F"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Designar Agentes de Retención del Impuesto a la Renta Personal por Rentas y Ganancias del Capital (IRP-RGC) a:</w:t>
            </w:r>
          </w:p>
          <w:p w14:paraId="55D7BBE0" w14:textId="77777777" w:rsidR="00607A9E" w:rsidRPr="00607A9E" w:rsidRDefault="00607A9E" w:rsidP="00607A9E">
            <w:pPr>
              <w:numPr>
                <w:ilvl w:val="0"/>
                <w:numId w:val="3"/>
              </w:numPr>
              <w:tabs>
                <w:tab w:val="left" w:pos="317"/>
              </w:tabs>
              <w:spacing w:after="0" w:line="300" w:lineRule="atLeast"/>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lastRenderedPageBreak/>
              <w:t>Las personas jurídicas, entes o patrimonios residentes en el país cuando acrediten, paguen, o en cualquier otra forma, pongan a disposición del contribuyente del presente impuesto intereses, comisiones o rendimientos.</w:t>
            </w:r>
          </w:p>
          <w:p w14:paraId="504F624E" w14:textId="77777777" w:rsidR="00607A9E" w:rsidRPr="00607A9E" w:rsidRDefault="00607A9E" w:rsidP="00607A9E">
            <w:pPr>
              <w:numPr>
                <w:ilvl w:val="0"/>
                <w:numId w:val="3"/>
              </w:numPr>
              <w:spacing w:after="0" w:line="300" w:lineRule="atLeast"/>
              <w:ind w:left="317" w:hanging="360"/>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Las Estructuras Jurídicas Transparentes cuando acrediten, paguen, o en cualquier otra forma, pongan a disposición del contribuyente del presente impuesto, lo que ocurra primero, rendimientos financieros, intereses, rendimientos provenientes de la valorización de los bienes y activos derivados de la ejecución del negocio fiduciario o de inversiones realizadas.</w:t>
            </w:r>
          </w:p>
          <w:p w14:paraId="107B33B0"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La retención no será aplicable cuando las rentas mencionadas estén contempladas en el artículo 56 de la Ley o, en su caso, hayan sido objeto de retención por el IDU.</w:t>
            </w:r>
          </w:p>
          <w:p w14:paraId="617AA93F"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Los agentes de retención aplicarán la tasa del ocho por ciento (8%) sobre el total de la operación gravada.</w:t>
            </w:r>
          </w:p>
          <w:p w14:paraId="39BBCC93"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La retención constituirá pago único y definitivo.</w:t>
            </w:r>
          </w:p>
          <w:p w14:paraId="74A3F273"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proofErr w:type="spellStart"/>
            <w:r w:rsidRPr="00607A9E">
              <w:rPr>
                <w:rFonts w:ascii="Calibri" w:eastAsia="Times New Roman" w:hAnsi="Calibri" w:cs="Calibri"/>
                <w:b/>
                <w:bCs/>
                <w:sz w:val="16"/>
                <w:szCs w:val="16"/>
                <w:lang w:val="en-US" w:eastAsia="es-PY"/>
              </w:rPr>
              <w:t>Reglamenta</w:t>
            </w:r>
            <w:proofErr w:type="spellEnd"/>
            <w:r w:rsidRPr="00607A9E">
              <w:rPr>
                <w:rFonts w:ascii="Calibri" w:eastAsia="Times New Roman" w:hAnsi="Calibri" w:cs="Calibri"/>
                <w:b/>
                <w:bCs/>
                <w:sz w:val="16"/>
                <w:szCs w:val="16"/>
                <w:lang w:val="en-US" w:eastAsia="es-PY"/>
              </w:rPr>
              <w:t xml:space="preserve">: Art. 52; Art. 56, </w:t>
            </w:r>
            <w:proofErr w:type="spellStart"/>
            <w:r w:rsidRPr="00607A9E">
              <w:rPr>
                <w:rFonts w:ascii="Calibri" w:eastAsia="Times New Roman" w:hAnsi="Calibri" w:cs="Calibri"/>
                <w:b/>
                <w:bCs/>
                <w:sz w:val="16"/>
                <w:szCs w:val="16"/>
                <w:lang w:val="en-US" w:eastAsia="es-PY"/>
              </w:rPr>
              <w:t>nums</w:t>
            </w:r>
            <w:proofErr w:type="spellEnd"/>
            <w:r w:rsidRPr="00607A9E">
              <w:rPr>
                <w:rFonts w:ascii="Calibri" w:eastAsia="Times New Roman" w:hAnsi="Calibri" w:cs="Calibri"/>
                <w:b/>
                <w:bCs/>
                <w:sz w:val="16"/>
                <w:szCs w:val="16"/>
                <w:lang w:val="en-US" w:eastAsia="es-PY"/>
              </w:rPr>
              <w:t xml:space="preserve">. 9, 10 y 11; y Art. 57, </w:t>
            </w:r>
            <w:proofErr w:type="spellStart"/>
            <w:r w:rsidRPr="00607A9E">
              <w:rPr>
                <w:rFonts w:ascii="Calibri" w:eastAsia="Times New Roman" w:hAnsi="Calibri" w:cs="Calibri"/>
                <w:b/>
                <w:bCs/>
                <w:sz w:val="16"/>
                <w:szCs w:val="16"/>
                <w:lang w:val="en-US" w:eastAsia="es-PY"/>
              </w:rPr>
              <w:t>nums</w:t>
            </w:r>
            <w:proofErr w:type="spellEnd"/>
            <w:r w:rsidRPr="00607A9E">
              <w:rPr>
                <w:rFonts w:ascii="Calibri" w:eastAsia="Times New Roman" w:hAnsi="Calibri" w:cs="Calibri"/>
                <w:b/>
                <w:bCs/>
                <w:sz w:val="16"/>
                <w:szCs w:val="16"/>
                <w:lang w:val="en-US" w:eastAsia="es-PY"/>
              </w:rPr>
              <w:t>. </w:t>
            </w:r>
            <w:r w:rsidRPr="00607A9E">
              <w:rPr>
                <w:rFonts w:ascii="Calibri" w:eastAsia="Times New Roman" w:hAnsi="Calibri" w:cs="Calibri"/>
                <w:b/>
                <w:bCs/>
                <w:sz w:val="16"/>
                <w:szCs w:val="16"/>
                <w:lang w:val="es-ES" w:eastAsia="es-PY"/>
              </w:rPr>
              <w:t>1, 2 y 3 de la Ley.</w:t>
            </w:r>
          </w:p>
        </w:tc>
      </w:tr>
      <w:tr w:rsidR="00607A9E" w:rsidRPr="00607A9E" w14:paraId="1864D2CD" w14:textId="77777777" w:rsidTr="00607A9E">
        <w:tc>
          <w:tcPr>
            <w:tcW w:w="0" w:type="auto"/>
            <w:shd w:val="clear" w:color="auto" w:fill="auto"/>
            <w:tcMar>
              <w:top w:w="0" w:type="dxa"/>
              <w:left w:w="108" w:type="dxa"/>
              <w:bottom w:w="0" w:type="dxa"/>
              <w:right w:w="108" w:type="dxa"/>
            </w:tcMar>
            <w:hideMark/>
          </w:tcPr>
          <w:p w14:paraId="1C339873"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b/>
                <w:bCs/>
                <w:sz w:val="20"/>
                <w:szCs w:val="20"/>
                <w:lang w:val="es-ES" w:eastAsia="es-PY"/>
              </w:rPr>
              <w:lastRenderedPageBreak/>
              <w:t>Artículo 2°. -</w:t>
            </w:r>
          </w:p>
        </w:tc>
        <w:tc>
          <w:tcPr>
            <w:tcW w:w="7801" w:type="dxa"/>
            <w:gridSpan w:val="2"/>
            <w:shd w:val="clear" w:color="auto" w:fill="auto"/>
            <w:tcMar>
              <w:top w:w="0" w:type="dxa"/>
              <w:left w:w="108" w:type="dxa"/>
              <w:bottom w:w="0" w:type="dxa"/>
              <w:right w:w="108" w:type="dxa"/>
            </w:tcMar>
            <w:hideMark/>
          </w:tcPr>
          <w:p w14:paraId="026C405C"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b/>
                <w:bCs/>
                <w:sz w:val="20"/>
                <w:szCs w:val="20"/>
                <w:lang w:val="es-ES" w:eastAsia="es-PY"/>
              </w:rPr>
              <w:t>Subarrendamiento</w:t>
            </w:r>
          </w:p>
          <w:p w14:paraId="0DEDAEF7"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proofErr w:type="gramStart"/>
            <w:r w:rsidRPr="00607A9E">
              <w:rPr>
                <w:rFonts w:ascii="Calibri" w:eastAsia="Times New Roman" w:hAnsi="Calibri" w:cs="Calibri"/>
                <w:sz w:val="20"/>
                <w:szCs w:val="20"/>
                <w:lang w:val="es-ES" w:eastAsia="es-PY"/>
              </w:rPr>
              <w:t>Aclarar</w:t>
            </w:r>
            <w:proofErr w:type="gramEnd"/>
            <w:r w:rsidRPr="00607A9E">
              <w:rPr>
                <w:rFonts w:ascii="Calibri" w:eastAsia="Times New Roman" w:hAnsi="Calibri" w:cs="Calibri"/>
                <w:sz w:val="20"/>
                <w:szCs w:val="20"/>
                <w:lang w:val="es-ES" w:eastAsia="es-PY"/>
              </w:rPr>
              <w:t xml:space="preserve"> que en la determinación de la renta neta real en el IRP-RGC prevista en el numeral 2 del artículo 59 de la Ley, el contribuyente que subarriende inmuebles podrá utilizar como gasto deducible el monto del alquiler abonado al arrendador.</w:t>
            </w:r>
          </w:p>
          <w:p w14:paraId="725DED48"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b/>
                <w:bCs/>
                <w:sz w:val="16"/>
                <w:szCs w:val="16"/>
                <w:lang w:val="es-ES" w:eastAsia="es-PY"/>
              </w:rPr>
              <w:t xml:space="preserve">Reglamenta: </w:t>
            </w:r>
            <w:proofErr w:type="spellStart"/>
            <w:r w:rsidRPr="00607A9E">
              <w:rPr>
                <w:rFonts w:ascii="Calibri" w:eastAsia="Times New Roman" w:hAnsi="Calibri" w:cs="Calibri"/>
                <w:b/>
                <w:bCs/>
                <w:sz w:val="16"/>
                <w:szCs w:val="16"/>
                <w:lang w:val="es-ES" w:eastAsia="es-PY"/>
              </w:rPr>
              <w:t>Num</w:t>
            </w:r>
            <w:proofErr w:type="spellEnd"/>
            <w:r w:rsidRPr="00607A9E">
              <w:rPr>
                <w:rFonts w:ascii="Calibri" w:eastAsia="Times New Roman" w:hAnsi="Calibri" w:cs="Calibri"/>
                <w:b/>
                <w:bCs/>
                <w:sz w:val="16"/>
                <w:szCs w:val="16"/>
                <w:lang w:val="es-ES" w:eastAsia="es-PY"/>
              </w:rPr>
              <w:t xml:space="preserve">. 2 del Art. 59 de la Ley y Art. 15 del Anexo al Decreto </w:t>
            </w:r>
            <w:proofErr w:type="spellStart"/>
            <w:r w:rsidRPr="00607A9E">
              <w:rPr>
                <w:rFonts w:ascii="Calibri" w:eastAsia="Times New Roman" w:hAnsi="Calibri" w:cs="Calibri"/>
                <w:b/>
                <w:bCs/>
                <w:sz w:val="16"/>
                <w:szCs w:val="16"/>
                <w:lang w:val="es-ES" w:eastAsia="es-PY"/>
              </w:rPr>
              <w:t>N°</w:t>
            </w:r>
            <w:proofErr w:type="spellEnd"/>
            <w:r w:rsidRPr="00607A9E">
              <w:rPr>
                <w:rFonts w:ascii="Calibri" w:eastAsia="Times New Roman" w:hAnsi="Calibri" w:cs="Calibri"/>
                <w:b/>
                <w:bCs/>
                <w:sz w:val="16"/>
                <w:szCs w:val="16"/>
                <w:lang w:val="es-ES" w:eastAsia="es-PY"/>
              </w:rPr>
              <w:t xml:space="preserve"> 3184/2019.</w:t>
            </w:r>
          </w:p>
        </w:tc>
      </w:tr>
      <w:tr w:rsidR="00607A9E" w:rsidRPr="00607A9E" w14:paraId="57C8C15F" w14:textId="77777777" w:rsidTr="00607A9E">
        <w:tc>
          <w:tcPr>
            <w:tcW w:w="0" w:type="auto"/>
            <w:shd w:val="clear" w:color="auto" w:fill="auto"/>
            <w:tcMar>
              <w:top w:w="0" w:type="dxa"/>
              <w:left w:w="108" w:type="dxa"/>
              <w:bottom w:w="0" w:type="dxa"/>
              <w:right w:w="108" w:type="dxa"/>
            </w:tcMar>
            <w:hideMark/>
          </w:tcPr>
          <w:p w14:paraId="6EF7CED2" w14:textId="77777777" w:rsidR="00607A9E" w:rsidRPr="00607A9E" w:rsidRDefault="00607A9E" w:rsidP="00607A9E">
            <w:pPr>
              <w:spacing w:line="240" w:lineRule="auto"/>
              <w:rPr>
                <w:rFonts w:ascii="Times New Roman" w:eastAsia="Times New Roman" w:hAnsi="Times New Roman" w:cs="Times New Roman"/>
                <w:sz w:val="24"/>
                <w:szCs w:val="24"/>
                <w:lang w:eastAsia="es-PY"/>
              </w:rPr>
            </w:pPr>
            <w:r w:rsidRPr="00607A9E">
              <w:rPr>
                <w:rFonts w:ascii="Calibri" w:eastAsia="Times New Roman" w:hAnsi="Calibri" w:cs="Calibri"/>
                <w:b/>
                <w:bCs/>
                <w:sz w:val="20"/>
                <w:szCs w:val="20"/>
                <w:lang w:val="es-ES" w:eastAsia="es-PY"/>
              </w:rPr>
              <w:t>Artículo 3°. -</w:t>
            </w:r>
          </w:p>
        </w:tc>
        <w:tc>
          <w:tcPr>
            <w:tcW w:w="7801" w:type="dxa"/>
            <w:gridSpan w:val="2"/>
            <w:shd w:val="clear" w:color="auto" w:fill="auto"/>
            <w:tcMar>
              <w:top w:w="0" w:type="dxa"/>
              <w:left w:w="108" w:type="dxa"/>
              <w:bottom w:w="0" w:type="dxa"/>
              <w:right w:w="108" w:type="dxa"/>
            </w:tcMar>
            <w:hideMark/>
          </w:tcPr>
          <w:p w14:paraId="33C65204"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b/>
                <w:bCs/>
                <w:sz w:val="20"/>
                <w:szCs w:val="20"/>
                <w:lang w:val="es-ES" w:eastAsia="es-PY"/>
              </w:rPr>
              <w:t>Excedentes de cajas mutuales</w:t>
            </w:r>
          </w:p>
          <w:p w14:paraId="5A452384"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 xml:space="preserve">No están alcanzados por el IRP-RGC los excedentes acreditados por las cajas mutuales, consistentes en rendimientos anuales generados por la inversión del afiliado en los Fondos Voluntarios de Capitalización Individual previstos en la Ley </w:t>
            </w:r>
            <w:proofErr w:type="spellStart"/>
            <w:r w:rsidRPr="00607A9E">
              <w:rPr>
                <w:rFonts w:ascii="Calibri" w:eastAsia="Times New Roman" w:hAnsi="Calibri" w:cs="Calibri"/>
                <w:sz w:val="20"/>
                <w:szCs w:val="20"/>
                <w:lang w:val="es-ES" w:eastAsia="es-PY"/>
              </w:rPr>
              <w:t>N°</w:t>
            </w:r>
            <w:proofErr w:type="spellEnd"/>
            <w:r w:rsidRPr="00607A9E">
              <w:rPr>
                <w:rFonts w:ascii="Calibri" w:eastAsia="Times New Roman" w:hAnsi="Calibri" w:cs="Calibri"/>
                <w:sz w:val="20"/>
                <w:szCs w:val="20"/>
                <w:lang w:val="es-ES" w:eastAsia="es-PY"/>
              </w:rPr>
              <w:t xml:space="preserve"> 3472/2008 «De Mutuales» que forman parte del monto de los haberes jubilatorios percibidos a partir de los cincuenta y cinco (55) </w:t>
            </w:r>
            <w:proofErr w:type="gramStart"/>
            <w:r w:rsidRPr="00607A9E">
              <w:rPr>
                <w:rFonts w:ascii="Calibri" w:eastAsia="Times New Roman" w:hAnsi="Calibri" w:cs="Calibri"/>
                <w:sz w:val="20"/>
                <w:szCs w:val="20"/>
                <w:lang w:val="es-ES" w:eastAsia="es-PY"/>
              </w:rPr>
              <w:t>años de edad</w:t>
            </w:r>
            <w:proofErr w:type="gramEnd"/>
            <w:r w:rsidRPr="00607A9E">
              <w:rPr>
                <w:rFonts w:ascii="Calibri" w:eastAsia="Times New Roman" w:hAnsi="Calibri" w:cs="Calibri"/>
                <w:sz w:val="20"/>
                <w:szCs w:val="20"/>
                <w:lang w:val="es-ES" w:eastAsia="es-PY"/>
              </w:rPr>
              <w:t xml:space="preserve">, conforme a lo señalado en el numeral 8 del artículo 10 del Anexo al Decreto </w:t>
            </w:r>
            <w:proofErr w:type="spellStart"/>
            <w:r w:rsidRPr="00607A9E">
              <w:rPr>
                <w:rFonts w:ascii="Calibri" w:eastAsia="Times New Roman" w:hAnsi="Calibri" w:cs="Calibri"/>
                <w:sz w:val="20"/>
                <w:szCs w:val="20"/>
                <w:lang w:val="es-ES" w:eastAsia="es-PY"/>
              </w:rPr>
              <w:t>N°</w:t>
            </w:r>
            <w:proofErr w:type="spellEnd"/>
            <w:r w:rsidRPr="00607A9E">
              <w:rPr>
                <w:rFonts w:ascii="Calibri" w:eastAsia="Times New Roman" w:hAnsi="Calibri" w:cs="Calibri"/>
                <w:sz w:val="20"/>
                <w:szCs w:val="20"/>
                <w:lang w:val="es-ES" w:eastAsia="es-PY"/>
              </w:rPr>
              <w:t xml:space="preserve"> 3184/2019.</w:t>
            </w:r>
          </w:p>
          <w:p w14:paraId="29706468"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b/>
                <w:bCs/>
                <w:sz w:val="16"/>
                <w:szCs w:val="16"/>
                <w:lang w:val="es-ES" w:eastAsia="es-PY"/>
              </w:rPr>
              <w:t xml:space="preserve">Reglamenta: </w:t>
            </w:r>
            <w:proofErr w:type="spellStart"/>
            <w:r w:rsidRPr="00607A9E">
              <w:rPr>
                <w:rFonts w:ascii="Calibri" w:eastAsia="Times New Roman" w:hAnsi="Calibri" w:cs="Calibri"/>
                <w:b/>
                <w:bCs/>
                <w:sz w:val="16"/>
                <w:szCs w:val="16"/>
                <w:lang w:val="es-ES" w:eastAsia="es-PY"/>
              </w:rPr>
              <w:t>Num</w:t>
            </w:r>
            <w:proofErr w:type="spellEnd"/>
            <w:r w:rsidRPr="00607A9E">
              <w:rPr>
                <w:rFonts w:ascii="Calibri" w:eastAsia="Times New Roman" w:hAnsi="Calibri" w:cs="Calibri"/>
                <w:b/>
                <w:bCs/>
                <w:sz w:val="16"/>
                <w:szCs w:val="16"/>
                <w:lang w:val="es-ES" w:eastAsia="es-PY"/>
              </w:rPr>
              <w:t xml:space="preserve">. 1 del Art. 57 de la Ley y Art. 17 del Anexo al Decreto </w:t>
            </w:r>
            <w:proofErr w:type="spellStart"/>
            <w:r w:rsidRPr="00607A9E">
              <w:rPr>
                <w:rFonts w:ascii="Calibri" w:eastAsia="Times New Roman" w:hAnsi="Calibri" w:cs="Calibri"/>
                <w:b/>
                <w:bCs/>
                <w:sz w:val="16"/>
                <w:szCs w:val="16"/>
                <w:lang w:val="es-ES" w:eastAsia="es-PY"/>
              </w:rPr>
              <w:t>N°</w:t>
            </w:r>
            <w:proofErr w:type="spellEnd"/>
            <w:r w:rsidRPr="00607A9E">
              <w:rPr>
                <w:rFonts w:ascii="Calibri" w:eastAsia="Times New Roman" w:hAnsi="Calibri" w:cs="Calibri"/>
                <w:b/>
                <w:bCs/>
                <w:sz w:val="16"/>
                <w:szCs w:val="16"/>
                <w:lang w:val="es-ES" w:eastAsia="es-PY"/>
              </w:rPr>
              <w:t xml:space="preserve"> 3184/2019.</w:t>
            </w:r>
          </w:p>
        </w:tc>
      </w:tr>
      <w:tr w:rsidR="00607A9E" w:rsidRPr="00607A9E" w14:paraId="3308DFA0" w14:textId="77777777" w:rsidTr="00607A9E">
        <w:tc>
          <w:tcPr>
            <w:tcW w:w="0" w:type="auto"/>
            <w:shd w:val="clear" w:color="auto" w:fill="auto"/>
            <w:tcMar>
              <w:top w:w="0" w:type="dxa"/>
              <w:left w:w="108" w:type="dxa"/>
              <w:bottom w:w="0" w:type="dxa"/>
              <w:right w:w="108" w:type="dxa"/>
            </w:tcMar>
            <w:hideMark/>
          </w:tcPr>
          <w:p w14:paraId="4BAF4050" w14:textId="77777777" w:rsidR="00607A9E" w:rsidRPr="00607A9E" w:rsidRDefault="00607A9E" w:rsidP="00607A9E">
            <w:pPr>
              <w:spacing w:line="240" w:lineRule="auto"/>
              <w:rPr>
                <w:rFonts w:ascii="Times New Roman" w:eastAsia="Times New Roman" w:hAnsi="Times New Roman" w:cs="Times New Roman"/>
                <w:sz w:val="24"/>
                <w:szCs w:val="24"/>
                <w:lang w:eastAsia="es-PY"/>
              </w:rPr>
            </w:pPr>
            <w:r w:rsidRPr="00607A9E">
              <w:rPr>
                <w:rFonts w:ascii="Calibri" w:eastAsia="Times New Roman" w:hAnsi="Calibri" w:cs="Calibri"/>
                <w:b/>
                <w:bCs/>
                <w:sz w:val="20"/>
                <w:szCs w:val="20"/>
                <w:lang w:val="es-ES" w:eastAsia="es-PY"/>
              </w:rPr>
              <w:t>Artículo 4°. -</w:t>
            </w:r>
          </w:p>
        </w:tc>
        <w:tc>
          <w:tcPr>
            <w:tcW w:w="7801" w:type="dxa"/>
            <w:gridSpan w:val="2"/>
            <w:shd w:val="clear" w:color="auto" w:fill="auto"/>
            <w:tcMar>
              <w:top w:w="0" w:type="dxa"/>
              <w:left w:w="108" w:type="dxa"/>
              <w:bottom w:w="0" w:type="dxa"/>
              <w:right w:w="108" w:type="dxa"/>
            </w:tcMar>
            <w:hideMark/>
          </w:tcPr>
          <w:p w14:paraId="1D431EFF" w14:textId="77777777" w:rsidR="00607A9E" w:rsidRPr="00607A9E" w:rsidRDefault="00607A9E" w:rsidP="00607A9E">
            <w:pPr>
              <w:spacing w:line="240" w:lineRule="auto"/>
              <w:jc w:val="both"/>
              <w:rPr>
                <w:rFonts w:ascii="Times New Roman" w:eastAsia="Times New Roman" w:hAnsi="Times New Roman" w:cs="Times New Roman"/>
                <w:sz w:val="24"/>
                <w:szCs w:val="24"/>
                <w:lang w:eastAsia="es-PY"/>
              </w:rPr>
            </w:pPr>
            <w:r w:rsidRPr="00607A9E">
              <w:rPr>
                <w:rFonts w:ascii="Calibri" w:eastAsia="Times New Roman" w:hAnsi="Calibri" w:cs="Calibri"/>
                <w:sz w:val="20"/>
                <w:szCs w:val="20"/>
                <w:lang w:val="es-ES" w:eastAsia="es-PY"/>
              </w:rPr>
              <w:t>Publicar, comunicar a quienes corresponda y cumplido archivar.</w:t>
            </w:r>
          </w:p>
        </w:tc>
      </w:tr>
      <w:tr w:rsidR="00607A9E" w:rsidRPr="00607A9E" w14:paraId="7C7006D4" w14:textId="77777777" w:rsidTr="00607A9E">
        <w:tc>
          <w:tcPr>
            <w:tcW w:w="0" w:type="auto"/>
            <w:tcBorders>
              <w:top w:val="nil"/>
              <w:left w:val="nil"/>
              <w:bottom w:val="nil"/>
              <w:right w:val="nil"/>
            </w:tcBorders>
            <w:shd w:val="clear" w:color="auto" w:fill="auto"/>
            <w:vAlign w:val="center"/>
            <w:hideMark/>
          </w:tcPr>
          <w:p w14:paraId="7677BF6F" w14:textId="77777777" w:rsidR="00607A9E" w:rsidRPr="00607A9E" w:rsidRDefault="00607A9E" w:rsidP="00607A9E">
            <w:pPr>
              <w:spacing w:after="0" w:line="240" w:lineRule="auto"/>
              <w:rPr>
                <w:rFonts w:ascii="Times New Roman" w:eastAsia="Times New Roman" w:hAnsi="Times New Roman" w:cs="Times New Roman"/>
                <w:sz w:val="24"/>
                <w:szCs w:val="24"/>
                <w:lang w:eastAsia="es-PY"/>
              </w:rPr>
            </w:pPr>
            <w:r w:rsidRPr="00607A9E">
              <w:rPr>
                <w:rFonts w:ascii="Times New Roman" w:eastAsia="Times New Roman" w:hAnsi="Times New Roman" w:cs="Times New Roman"/>
                <w:sz w:val="24"/>
                <w:szCs w:val="24"/>
                <w:lang w:eastAsia="es-PY"/>
              </w:rPr>
              <w:t> </w:t>
            </w:r>
          </w:p>
        </w:tc>
        <w:tc>
          <w:tcPr>
            <w:tcW w:w="0" w:type="auto"/>
            <w:tcBorders>
              <w:top w:val="nil"/>
              <w:left w:val="nil"/>
              <w:bottom w:val="nil"/>
              <w:right w:val="nil"/>
            </w:tcBorders>
            <w:shd w:val="clear" w:color="auto" w:fill="auto"/>
            <w:vAlign w:val="center"/>
            <w:hideMark/>
          </w:tcPr>
          <w:p w14:paraId="6AF7FC02" w14:textId="77777777" w:rsidR="00607A9E" w:rsidRPr="00607A9E" w:rsidRDefault="00607A9E" w:rsidP="00607A9E">
            <w:pPr>
              <w:spacing w:after="0" w:line="240" w:lineRule="auto"/>
              <w:rPr>
                <w:rFonts w:ascii="Times New Roman" w:eastAsia="Times New Roman" w:hAnsi="Times New Roman" w:cs="Times New Roman"/>
                <w:sz w:val="24"/>
                <w:szCs w:val="24"/>
                <w:lang w:eastAsia="es-PY"/>
              </w:rPr>
            </w:pPr>
            <w:r w:rsidRPr="00607A9E">
              <w:rPr>
                <w:rFonts w:ascii="Times New Roman" w:eastAsia="Times New Roman" w:hAnsi="Times New Roman" w:cs="Times New Roman"/>
                <w:sz w:val="24"/>
                <w:szCs w:val="24"/>
                <w:lang w:eastAsia="es-PY"/>
              </w:rPr>
              <w:t> </w:t>
            </w:r>
          </w:p>
        </w:tc>
        <w:tc>
          <w:tcPr>
            <w:tcW w:w="7711" w:type="dxa"/>
            <w:tcBorders>
              <w:top w:val="nil"/>
              <w:left w:val="nil"/>
              <w:bottom w:val="nil"/>
              <w:right w:val="nil"/>
            </w:tcBorders>
            <w:shd w:val="clear" w:color="auto" w:fill="auto"/>
            <w:vAlign w:val="center"/>
            <w:hideMark/>
          </w:tcPr>
          <w:p w14:paraId="468BCE24" w14:textId="77777777" w:rsidR="00607A9E" w:rsidRPr="00607A9E" w:rsidRDefault="00607A9E" w:rsidP="00607A9E">
            <w:pPr>
              <w:spacing w:after="0" w:line="240" w:lineRule="auto"/>
              <w:rPr>
                <w:rFonts w:ascii="Times New Roman" w:eastAsia="Times New Roman" w:hAnsi="Times New Roman" w:cs="Times New Roman"/>
                <w:sz w:val="24"/>
                <w:szCs w:val="24"/>
                <w:lang w:eastAsia="es-PY"/>
              </w:rPr>
            </w:pPr>
            <w:r w:rsidRPr="00607A9E">
              <w:rPr>
                <w:rFonts w:ascii="Times New Roman" w:eastAsia="Times New Roman" w:hAnsi="Times New Roman" w:cs="Times New Roman"/>
                <w:sz w:val="24"/>
                <w:szCs w:val="24"/>
                <w:lang w:eastAsia="es-PY"/>
              </w:rPr>
              <w:t> </w:t>
            </w:r>
          </w:p>
        </w:tc>
      </w:tr>
    </w:tbl>
    <w:p w14:paraId="70C2E55B" w14:textId="77777777" w:rsidR="00607A9E" w:rsidRPr="00607A9E" w:rsidRDefault="00607A9E" w:rsidP="00607A9E">
      <w:pPr>
        <w:shd w:val="clear" w:color="auto" w:fill="FFFFFF"/>
        <w:spacing w:line="240" w:lineRule="auto"/>
        <w:rPr>
          <w:rFonts w:ascii="Calibri" w:eastAsia="Times New Roman" w:hAnsi="Calibri" w:cs="Calibri"/>
          <w:color w:val="333333"/>
          <w:sz w:val="20"/>
          <w:szCs w:val="20"/>
          <w:lang w:eastAsia="es-PY"/>
        </w:rPr>
      </w:pPr>
      <w:r w:rsidRPr="00607A9E">
        <w:rPr>
          <w:rFonts w:ascii="Calibri" w:eastAsia="Times New Roman" w:hAnsi="Calibri" w:cs="Calibri"/>
          <w:color w:val="333333"/>
          <w:sz w:val="20"/>
          <w:szCs w:val="20"/>
          <w:lang w:eastAsia="es-PY"/>
        </w:rPr>
        <w:t> </w:t>
      </w:r>
    </w:p>
    <w:p w14:paraId="7FE5B516" w14:textId="77777777" w:rsidR="00607A9E" w:rsidRPr="00607A9E" w:rsidRDefault="00607A9E" w:rsidP="00607A9E">
      <w:pPr>
        <w:shd w:val="clear" w:color="auto" w:fill="FFFFFF"/>
        <w:spacing w:line="240" w:lineRule="auto"/>
        <w:jc w:val="center"/>
        <w:rPr>
          <w:rFonts w:ascii="Calibri" w:eastAsia="Times New Roman" w:hAnsi="Calibri" w:cs="Calibri"/>
          <w:color w:val="333333"/>
          <w:sz w:val="20"/>
          <w:szCs w:val="20"/>
          <w:lang w:eastAsia="es-PY"/>
        </w:rPr>
      </w:pPr>
      <w:r w:rsidRPr="00607A9E">
        <w:rPr>
          <w:rFonts w:ascii="Calibri" w:eastAsia="Times New Roman" w:hAnsi="Calibri" w:cs="Calibri"/>
          <w:b/>
          <w:bCs/>
          <w:color w:val="333333"/>
          <w:sz w:val="20"/>
          <w:szCs w:val="20"/>
          <w:lang w:val="es-ES" w:eastAsia="es-PY"/>
        </w:rPr>
        <w:t>ÓSCAR ALCIDES ORUÉ ORTÍZ</w:t>
      </w:r>
    </w:p>
    <w:p w14:paraId="2A6115E3" w14:textId="77777777" w:rsidR="00607A9E" w:rsidRPr="00607A9E" w:rsidRDefault="00607A9E" w:rsidP="00607A9E">
      <w:pPr>
        <w:shd w:val="clear" w:color="auto" w:fill="FFFFFF"/>
        <w:spacing w:line="240" w:lineRule="auto"/>
        <w:jc w:val="center"/>
        <w:rPr>
          <w:rFonts w:ascii="Calibri" w:eastAsia="Times New Roman" w:hAnsi="Calibri" w:cs="Calibri"/>
          <w:color w:val="333333"/>
          <w:sz w:val="20"/>
          <w:szCs w:val="20"/>
          <w:lang w:eastAsia="es-PY"/>
        </w:rPr>
      </w:pPr>
      <w:r w:rsidRPr="00607A9E">
        <w:rPr>
          <w:rFonts w:ascii="Calibri" w:eastAsia="Times New Roman" w:hAnsi="Calibri" w:cs="Calibri"/>
          <w:b/>
          <w:bCs/>
          <w:color w:val="333333"/>
          <w:sz w:val="20"/>
          <w:szCs w:val="20"/>
          <w:lang w:val="es-ES" w:eastAsia="es-PY"/>
        </w:rPr>
        <w:t>VICEMINISTRO DE TRIBUTACIÓN</w:t>
      </w:r>
    </w:p>
    <w:p w14:paraId="41A1F6AE" w14:textId="77777777" w:rsidR="00627107" w:rsidRDefault="00627107"/>
    <w:sectPr w:rsidR="0062710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F12EE4"/>
    <w:multiLevelType w:val="multilevel"/>
    <w:tmpl w:val="BC9429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68751760"/>
    <w:multiLevelType w:val="multilevel"/>
    <w:tmpl w:val="F8CE90C2"/>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2" w15:restartNumberingAfterBreak="0">
    <w:nsid w:val="69386721"/>
    <w:multiLevelType w:val="multilevel"/>
    <w:tmpl w:val="39A60912"/>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34781108">
    <w:abstractNumId w:val="0"/>
  </w:num>
  <w:num w:numId="2" w16cid:durableId="1333024729">
    <w:abstractNumId w:val="2"/>
  </w:num>
  <w:num w:numId="3" w16cid:durableId="1925257981">
    <w:abstractNumId w:val="1"/>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A9E"/>
    <w:rsid w:val="00324379"/>
    <w:rsid w:val="00607A9E"/>
    <w:rsid w:val="00627107"/>
    <w:rsid w:val="00B5562E"/>
    <w:rsid w:val="00EC064C"/>
    <w:rsid w:val="00F4252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BEDAA"/>
  <w15:chartTrackingRefBased/>
  <w15:docId w15:val="{91E1ECD5-AFA2-4FE8-AED8-4608846E8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autoRedefine/>
    <w:uiPriority w:val="9"/>
    <w:unhideWhenUsed/>
    <w:qFormat/>
    <w:rsid w:val="00EC064C"/>
    <w:pPr>
      <w:keepNext/>
      <w:keepLines/>
      <w:numPr>
        <w:numId w:val="2"/>
      </w:numPr>
      <w:shd w:val="clear" w:color="auto" w:fill="FFF2CC" w:themeFill="accent4" w:themeFillTint="33"/>
      <w:spacing w:before="80" w:after="0" w:line="240" w:lineRule="auto"/>
      <w:ind w:left="360" w:hanging="360"/>
      <w:contextualSpacing/>
      <w:outlineLvl w:val="1"/>
    </w:pPr>
    <w:rPr>
      <w:rFonts w:asciiTheme="majorHAnsi" w:eastAsiaTheme="majorEastAsia" w:hAnsiTheme="majorHAnsi" w:cstheme="majorBidi"/>
      <w:bCs/>
      <w:sz w:val="24"/>
      <w:szCs w:val="2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EC064C"/>
    <w:rPr>
      <w:rFonts w:asciiTheme="majorHAnsi" w:eastAsiaTheme="majorEastAsia" w:hAnsiTheme="majorHAnsi" w:cstheme="majorBidi"/>
      <w:bCs/>
      <w:sz w:val="24"/>
      <w:szCs w:val="28"/>
      <w:shd w:val="clear" w:color="auto" w:fill="FFF2CC" w:themeFill="accent4" w:themeFillTint="33"/>
      <w:lang w:val="es-ES"/>
    </w:rPr>
  </w:style>
  <w:style w:type="paragraph" w:customStyle="1" w:styleId="Estilo3">
    <w:name w:val="Estilo3"/>
    <w:basedOn w:val="Normal"/>
    <w:link w:val="Estilo3Car"/>
    <w:qFormat/>
    <w:rsid w:val="00B5562E"/>
    <w:pPr>
      <w:shd w:val="clear" w:color="auto" w:fill="002060"/>
      <w:spacing w:after="200" w:line="288" w:lineRule="auto"/>
      <w:jc w:val="right"/>
    </w:pPr>
    <w:rPr>
      <w:b/>
      <w:bCs/>
      <w:sz w:val="24"/>
      <w:szCs w:val="24"/>
    </w:rPr>
  </w:style>
  <w:style w:type="character" w:customStyle="1" w:styleId="Estilo3Car">
    <w:name w:val="Estilo3 Car"/>
    <w:basedOn w:val="Fuentedeprrafopredeter"/>
    <w:link w:val="Estilo3"/>
    <w:rsid w:val="00B5562E"/>
    <w:rPr>
      <w:b/>
      <w:bCs/>
      <w:sz w:val="24"/>
      <w:szCs w:val="24"/>
      <w:shd w:val="clear" w:color="auto" w:fill="00206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044210">
      <w:bodyDiv w:val="1"/>
      <w:marLeft w:val="0"/>
      <w:marRight w:val="0"/>
      <w:marTop w:val="0"/>
      <w:marBottom w:val="0"/>
      <w:divBdr>
        <w:top w:val="none" w:sz="0" w:space="0" w:color="auto"/>
        <w:left w:val="none" w:sz="0" w:space="0" w:color="auto"/>
        <w:bottom w:val="none" w:sz="0" w:space="0" w:color="auto"/>
        <w:right w:val="none" w:sz="0" w:space="0" w:color="auto"/>
      </w:divBdr>
      <w:divsChild>
        <w:div w:id="899561864">
          <w:marLeft w:val="0"/>
          <w:marRight w:val="0"/>
          <w:marTop w:val="0"/>
          <w:marBottom w:val="160"/>
          <w:divBdr>
            <w:top w:val="none" w:sz="0" w:space="0" w:color="auto"/>
            <w:left w:val="none" w:sz="0" w:space="0" w:color="auto"/>
            <w:bottom w:val="none" w:sz="0" w:space="0" w:color="auto"/>
            <w:right w:val="none" w:sz="0" w:space="0" w:color="auto"/>
          </w:divBdr>
        </w:div>
        <w:div w:id="1018850107">
          <w:marLeft w:val="0"/>
          <w:marRight w:val="0"/>
          <w:marTop w:val="0"/>
          <w:marBottom w:val="160"/>
          <w:divBdr>
            <w:top w:val="none" w:sz="0" w:space="0" w:color="auto"/>
            <w:left w:val="none" w:sz="0" w:space="0" w:color="auto"/>
            <w:bottom w:val="none" w:sz="0" w:space="0" w:color="auto"/>
            <w:right w:val="none" w:sz="0" w:space="0" w:color="auto"/>
          </w:divBdr>
        </w:div>
        <w:div w:id="1829901654">
          <w:marLeft w:val="0"/>
          <w:marRight w:val="0"/>
          <w:marTop w:val="0"/>
          <w:marBottom w:val="160"/>
          <w:divBdr>
            <w:top w:val="none" w:sz="0" w:space="0" w:color="auto"/>
            <w:left w:val="none" w:sz="0" w:space="0" w:color="auto"/>
            <w:bottom w:val="none" w:sz="0" w:space="0" w:color="auto"/>
            <w:right w:val="none" w:sz="0" w:space="0" w:color="auto"/>
          </w:divBdr>
        </w:div>
        <w:div w:id="966551081">
          <w:marLeft w:val="0"/>
          <w:marRight w:val="567"/>
          <w:marTop w:val="0"/>
          <w:marBottom w:val="0"/>
          <w:divBdr>
            <w:top w:val="none" w:sz="0" w:space="0" w:color="auto"/>
            <w:left w:val="none" w:sz="0" w:space="0" w:color="auto"/>
            <w:bottom w:val="none" w:sz="0" w:space="0" w:color="auto"/>
            <w:right w:val="none" w:sz="0" w:space="0" w:color="auto"/>
          </w:divBdr>
          <w:divsChild>
            <w:div w:id="223225935">
              <w:marLeft w:val="0"/>
              <w:marRight w:val="0"/>
              <w:marTop w:val="0"/>
              <w:marBottom w:val="160"/>
              <w:divBdr>
                <w:top w:val="none" w:sz="0" w:space="0" w:color="auto"/>
                <w:left w:val="none" w:sz="0" w:space="0" w:color="auto"/>
                <w:bottom w:val="none" w:sz="0" w:space="0" w:color="auto"/>
                <w:right w:val="none" w:sz="0" w:space="0" w:color="auto"/>
              </w:divBdr>
            </w:div>
            <w:div w:id="27147687">
              <w:marLeft w:val="0"/>
              <w:marRight w:val="0"/>
              <w:marTop w:val="0"/>
              <w:marBottom w:val="160"/>
              <w:divBdr>
                <w:top w:val="none" w:sz="0" w:space="0" w:color="auto"/>
                <w:left w:val="none" w:sz="0" w:space="0" w:color="auto"/>
                <w:bottom w:val="none" w:sz="0" w:space="0" w:color="auto"/>
                <w:right w:val="none" w:sz="0" w:space="0" w:color="auto"/>
              </w:divBdr>
            </w:div>
            <w:div w:id="1330333033">
              <w:marLeft w:val="0"/>
              <w:marRight w:val="0"/>
              <w:marTop w:val="0"/>
              <w:marBottom w:val="160"/>
              <w:divBdr>
                <w:top w:val="none" w:sz="0" w:space="0" w:color="auto"/>
                <w:left w:val="none" w:sz="0" w:space="0" w:color="auto"/>
                <w:bottom w:val="none" w:sz="0" w:space="0" w:color="auto"/>
                <w:right w:val="none" w:sz="0" w:space="0" w:color="auto"/>
              </w:divBdr>
            </w:div>
            <w:div w:id="2007125563">
              <w:marLeft w:val="0"/>
              <w:marRight w:val="0"/>
              <w:marTop w:val="0"/>
              <w:marBottom w:val="160"/>
              <w:divBdr>
                <w:top w:val="none" w:sz="0" w:space="0" w:color="auto"/>
                <w:left w:val="none" w:sz="0" w:space="0" w:color="auto"/>
                <w:bottom w:val="none" w:sz="0" w:space="0" w:color="auto"/>
                <w:right w:val="none" w:sz="0" w:space="0" w:color="auto"/>
              </w:divBdr>
            </w:div>
            <w:div w:id="1142112902">
              <w:marLeft w:val="0"/>
              <w:marRight w:val="0"/>
              <w:marTop w:val="0"/>
              <w:marBottom w:val="160"/>
              <w:divBdr>
                <w:top w:val="none" w:sz="0" w:space="0" w:color="auto"/>
                <w:left w:val="none" w:sz="0" w:space="0" w:color="auto"/>
                <w:bottom w:val="none" w:sz="0" w:space="0" w:color="auto"/>
                <w:right w:val="none" w:sz="0" w:space="0" w:color="auto"/>
              </w:divBdr>
            </w:div>
            <w:div w:id="903563600">
              <w:marLeft w:val="0"/>
              <w:marRight w:val="0"/>
              <w:marTop w:val="0"/>
              <w:marBottom w:val="160"/>
              <w:divBdr>
                <w:top w:val="none" w:sz="0" w:space="0" w:color="auto"/>
                <w:left w:val="none" w:sz="0" w:space="0" w:color="auto"/>
                <w:bottom w:val="none" w:sz="0" w:space="0" w:color="auto"/>
                <w:right w:val="none" w:sz="0" w:space="0" w:color="auto"/>
              </w:divBdr>
            </w:div>
            <w:div w:id="409276484">
              <w:marLeft w:val="0"/>
              <w:marRight w:val="0"/>
              <w:marTop w:val="0"/>
              <w:marBottom w:val="160"/>
              <w:divBdr>
                <w:top w:val="none" w:sz="0" w:space="0" w:color="auto"/>
                <w:left w:val="none" w:sz="0" w:space="0" w:color="auto"/>
                <w:bottom w:val="none" w:sz="0" w:space="0" w:color="auto"/>
                <w:right w:val="none" w:sz="0" w:space="0" w:color="auto"/>
              </w:divBdr>
            </w:div>
            <w:div w:id="2080134866">
              <w:marLeft w:val="0"/>
              <w:marRight w:val="0"/>
              <w:marTop w:val="0"/>
              <w:marBottom w:val="160"/>
              <w:divBdr>
                <w:top w:val="none" w:sz="0" w:space="0" w:color="auto"/>
                <w:left w:val="none" w:sz="0" w:space="0" w:color="auto"/>
                <w:bottom w:val="none" w:sz="0" w:space="0" w:color="auto"/>
                <w:right w:val="none" w:sz="0" w:space="0" w:color="auto"/>
              </w:divBdr>
            </w:div>
            <w:div w:id="1582373151">
              <w:marLeft w:val="0"/>
              <w:marRight w:val="0"/>
              <w:marTop w:val="0"/>
              <w:marBottom w:val="160"/>
              <w:divBdr>
                <w:top w:val="none" w:sz="0" w:space="0" w:color="auto"/>
                <w:left w:val="none" w:sz="0" w:space="0" w:color="auto"/>
                <w:bottom w:val="none" w:sz="0" w:space="0" w:color="auto"/>
                <w:right w:val="none" w:sz="0" w:space="0" w:color="auto"/>
              </w:divBdr>
            </w:div>
            <w:div w:id="1101756936">
              <w:marLeft w:val="0"/>
              <w:marRight w:val="0"/>
              <w:marTop w:val="0"/>
              <w:marBottom w:val="160"/>
              <w:divBdr>
                <w:top w:val="none" w:sz="0" w:space="0" w:color="auto"/>
                <w:left w:val="none" w:sz="0" w:space="0" w:color="auto"/>
                <w:bottom w:val="none" w:sz="0" w:space="0" w:color="auto"/>
                <w:right w:val="none" w:sz="0" w:space="0" w:color="auto"/>
              </w:divBdr>
            </w:div>
            <w:div w:id="1095974312">
              <w:marLeft w:val="0"/>
              <w:marRight w:val="0"/>
              <w:marTop w:val="0"/>
              <w:marBottom w:val="160"/>
              <w:divBdr>
                <w:top w:val="none" w:sz="0" w:space="0" w:color="auto"/>
                <w:left w:val="none" w:sz="0" w:space="0" w:color="auto"/>
                <w:bottom w:val="none" w:sz="0" w:space="0" w:color="auto"/>
                <w:right w:val="none" w:sz="0" w:space="0" w:color="auto"/>
              </w:divBdr>
            </w:div>
            <w:div w:id="1701542446">
              <w:marLeft w:val="0"/>
              <w:marRight w:val="0"/>
              <w:marTop w:val="0"/>
              <w:marBottom w:val="160"/>
              <w:divBdr>
                <w:top w:val="none" w:sz="0" w:space="0" w:color="auto"/>
                <w:left w:val="none" w:sz="0" w:space="0" w:color="auto"/>
                <w:bottom w:val="none" w:sz="0" w:space="0" w:color="auto"/>
                <w:right w:val="none" w:sz="0" w:space="0" w:color="auto"/>
              </w:divBdr>
            </w:div>
            <w:div w:id="1618561386">
              <w:marLeft w:val="0"/>
              <w:marRight w:val="0"/>
              <w:marTop w:val="0"/>
              <w:marBottom w:val="160"/>
              <w:divBdr>
                <w:top w:val="none" w:sz="0" w:space="0" w:color="auto"/>
                <w:left w:val="none" w:sz="0" w:space="0" w:color="auto"/>
                <w:bottom w:val="none" w:sz="0" w:space="0" w:color="auto"/>
                <w:right w:val="none" w:sz="0" w:space="0" w:color="auto"/>
              </w:divBdr>
            </w:div>
            <w:div w:id="2120636306">
              <w:marLeft w:val="0"/>
              <w:marRight w:val="0"/>
              <w:marTop w:val="0"/>
              <w:marBottom w:val="160"/>
              <w:divBdr>
                <w:top w:val="none" w:sz="0" w:space="0" w:color="auto"/>
                <w:left w:val="none" w:sz="0" w:space="0" w:color="auto"/>
                <w:bottom w:val="none" w:sz="0" w:space="0" w:color="auto"/>
                <w:right w:val="none" w:sz="0" w:space="0" w:color="auto"/>
              </w:divBdr>
            </w:div>
            <w:div w:id="308478791">
              <w:marLeft w:val="0"/>
              <w:marRight w:val="0"/>
              <w:marTop w:val="0"/>
              <w:marBottom w:val="160"/>
              <w:divBdr>
                <w:top w:val="none" w:sz="0" w:space="0" w:color="auto"/>
                <w:left w:val="none" w:sz="0" w:space="0" w:color="auto"/>
                <w:bottom w:val="none" w:sz="0" w:space="0" w:color="auto"/>
                <w:right w:val="none" w:sz="0" w:space="0" w:color="auto"/>
              </w:divBdr>
            </w:div>
            <w:div w:id="854271441">
              <w:marLeft w:val="0"/>
              <w:marRight w:val="0"/>
              <w:marTop w:val="0"/>
              <w:marBottom w:val="160"/>
              <w:divBdr>
                <w:top w:val="none" w:sz="0" w:space="0" w:color="auto"/>
                <w:left w:val="none" w:sz="0" w:space="0" w:color="auto"/>
                <w:bottom w:val="none" w:sz="0" w:space="0" w:color="auto"/>
                <w:right w:val="none" w:sz="0" w:space="0" w:color="auto"/>
              </w:divBdr>
            </w:div>
            <w:div w:id="1174153848">
              <w:marLeft w:val="0"/>
              <w:marRight w:val="0"/>
              <w:marTop w:val="0"/>
              <w:marBottom w:val="160"/>
              <w:divBdr>
                <w:top w:val="none" w:sz="0" w:space="0" w:color="auto"/>
                <w:left w:val="none" w:sz="0" w:space="0" w:color="auto"/>
                <w:bottom w:val="none" w:sz="0" w:space="0" w:color="auto"/>
                <w:right w:val="none" w:sz="0" w:space="0" w:color="auto"/>
              </w:divBdr>
            </w:div>
            <w:div w:id="1424378035">
              <w:marLeft w:val="0"/>
              <w:marRight w:val="0"/>
              <w:marTop w:val="0"/>
              <w:marBottom w:val="160"/>
              <w:divBdr>
                <w:top w:val="none" w:sz="0" w:space="0" w:color="auto"/>
                <w:left w:val="none" w:sz="0" w:space="0" w:color="auto"/>
                <w:bottom w:val="none" w:sz="0" w:space="0" w:color="auto"/>
                <w:right w:val="none" w:sz="0" w:space="0" w:color="auto"/>
              </w:divBdr>
            </w:div>
            <w:div w:id="507869176">
              <w:marLeft w:val="0"/>
              <w:marRight w:val="0"/>
              <w:marTop w:val="0"/>
              <w:marBottom w:val="160"/>
              <w:divBdr>
                <w:top w:val="none" w:sz="0" w:space="0" w:color="auto"/>
                <w:left w:val="none" w:sz="0" w:space="0" w:color="auto"/>
                <w:bottom w:val="none" w:sz="0" w:space="0" w:color="auto"/>
                <w:right w:val="none" w:sz="0" w:space="0" w:color="auto"/>
              </w:divBdr>
            </w:div>
            <w:div w:id="94248274">
              <w:marLeft w:val="0"/>
              <w:marRight w:val="0"/>
              <w:marTop w:val="0"/>
              <w:marBottom w:val="160"/>
              <w:divBdr>
                <w:top w:val="none" w:sz="0" w:space="0" w:color="auto"/>
                <w:left w:val="none" w:sz="0" w:space="0" w:color="auto"/>
                <w:bottom w:val="none" w:sz="0" w:space="0" w:color="auto"/>
                <w:right w:val="none" w:sz="0" w:space="0" w:color="auto"/>
              </w:divBdr>
            </w:div>
            <w:div w:id="1485509149">
              <w:marLeft w:val="0"/>
              <w:marRight w:val="0"/>
              <w:marTop w:val="0"/>
              <w:marBottom w:val="160"/>
              <w:divBdr>
                <w:top w:val="none" w:sz="0" w:space="0" w:color="auto"/>
                <w:left w:val="none" w:sz="0" w:space="0" w:color="auto"/>
                <w:bottom w:val="none" w:sz="0" w:space="0" w:color="auto"/>
                <w:right w:val="none" w:sz="0" w:space="0" w:color="auto"/>
              </w:divBdr>
            </w:div>
            <w:div w:id="897010176">
              <w:marLeft w:val="0"/>
              <w:marRight w:val="0"/>
              <w:marTop w:val="0"/>
              <w:marBottom w:val="160"/>
              <w:divBdr>
                <w:top w:val="none" w:sz="0" w:space="0" w:color="auto"/>
                <w:left w:val="none" w:sz="0" w:space="0" w:color="auto"/>
                <w:bottom w:val="none" w:sz="0" w:space="0" w:color="auto"/>
                <w:right w:val="none" w:sz="0" w:space="0" w:color="auto"/>
              </w:divBdr>
            </w:div>
            <w:div w:id="1903253208">
              <w:marLeft w:val="0"/>
              <w:marRight w:val="0"/>
              <w:marTop w:val="0"/>
              <w:marBottom w:val="160"/>
              <w:divBdr>
                <w:top w:val="none" w:sz="0" w:space="0" w:color="auto"/>
                <w:left w:val="none" w:sz="0" w:space="0" w:color="auto"/>
                <w:bottom w:val="none" w:sz="0" w:space="0" w:color="auto"/>
                <w:right w:val="none" w:sz="0" w:space="0" w:color="auto"/>
              </w:divBdr>
            </w:div>
            <w:div w:id="1029989410">
              <w:marLeft w:val="0"/>
              <w:marRight w:val="0"/>
              <w:marTop w:val="0"/>
              <w:marBottom w:val="160"/>
              <w:divBdr>
                <w:top w:val="none" w:sz="0" w:space="0" w:color="auto"/>
                <w:left w:val="none" w:sz="0" w:space="0" w:color="auto"/>
                <w:bottom w:val="none" w:sz="0" w:space="0" w:color="auto"/>
                <w:right w:val="none" w:sz="0" w:space="0" w:color="auto"/>
              </w:divBdr>
            </w:div>
            <w:div w:id="338629986">
              <w:marLeft w:val="0"/>
              <w:marRight w:val="0"/>
              <w:marTop w:val="0"/>
              <w:marBottom w:val="160"/>
              <w:divBdr>
                <w:top w:val="none" w:sz="0" w:space="0" w:color="auto"/>
                <w:left w:val="none" w:sz="0" w:space="0" w:color="auto"/>
                <w:bottom w:val="none" w:sz="0" w:space="0" w:color="auto"/>
                <w:right w:val="none" w:sz="0" w:space="0" w:color="auto"/>
              </w:divBdr>
            </w:div>
            <w:div w:id="1458597099">
              <w:marLeft w:val="0"/>
              <w:marRight w:val="0"/>
              <w:marTop w:val="0"/>
              <w:marBottom w:val="160"/>
              <w:divBdr>
                <w:top w:val="none" w:sz="0" w:space="0" w:color="auto"/>
                <w:left w:val="none" w:sz="0" w:space="0" w:color="auto"/>
                <w:bottom w:val="none" w:sz="0" w:space="0" w:color="auto"/>
                <w:right w:val="none" w:sz="0" w:space="0" w:color="auto"/>
              </w:divBdr>
            </w:div>
            <w:div w:id="419372298">
              <w:marLeft w:val="0"/>
              <w:marRight w:val="0"/>
              <w:marTop w:val="0"/>
              <w:marBottom w:val="160"/>
              <w:divBdr>
                <w:top w:val="none" w:sz="0" w:space="0" w:color="auto"/>
                <w:left w:val="none" w:sz="0" w:space="0" w:color="auto"/>
                <w:bottom w:val="none" w:sz="0" w:space="0" w:color="auto"/>
                <w:right w:val="none" w:sz="0" w:space="0" w:color="auto"/>
              </w:divBdr>
            </w:div>
            <w:div w:id="742261756">
              <w:marLeft w:val="0"/>
              <w:marRight w:val="0"/>
              <w:marTop w:val="0"/>
              <w:marBottom w:val="160"/>
              <w:divBdr>
                <w:top w:val="none" w:sz="0" w:space="0" w:color="auto"/>
                <w:left w:val="none" w:sz="0" w:space="0" w:color="auto"/>
                <w:bottom w:val="none" w:sz="0" w:space="0" w:color="auto"/>
                <w:right w:val="none" w:sz="0" w:space="0" w:color="auto"/>
              </w:divBdr>
            </w:div>
            <w:div w:id="1512143544">
              <w:marLeft w:val="0"/>
              <w:marRight w:val="0"/>
              <w:marTop w:val="0"/>
              <w:marBottom w:val="160"/>
              <w:divBdr>
                <w:top w:val="none" w:sz="0" w:space="0" w:color="auto"/>
                <w:left w:val="none" w:sz="0" w:space="0" w:color="auto"/>
                <w:bottom w:val="none" w:sz="0" w:space="0" w:color="auto"/>
                <w:right w:val="none" w:sz="0" w:space="0" w:color="auto"/>
              </w:divBdr>
            </w:div>
            <w:div w:id="482115378">
              <w:marLeft w:val="0"/>
              <w:marRight w:val="0"/>
              <w:marTop w:val="0"/>
              <w:marBottom w:val="160"/>
              <w:divBdr>
                <w:top w:val="none" w:sz="0" w:space="0" w:color="auto"/>
                <w:left w:val="none" w:sz="0" w:space="0" w:color="auto"/>
                <w:bottom w:val="none" w:sz="0" w:space="0" w:color="auto"/>
                <w:right w:val="none" w:sz="0" w:space="0" w:color="auto"/>
              </w:divBdr>
            </w:div>
            <w:div w:id="1287782446">
              <w:marLeft w:val="0"/>
              <w:marRight w:val="0"/>
              <w:marTop w:val="0"/>
              <w:marBottom w:val="160"/>
              <w:divBdr>
                <w:top w:val="none" w:sz="0" w:space="0" w:color="auto"/>
                <w:left w:val="none" w:sz="0" w:space="0" w:color="auto"/>
                <w:bottom w:val="none" w:sz="0" w:space="0" w:color="auto"/>
                <w:right w:val="none" w:sz="0" w:space="0" w:color="auto"/>
              </w:divBdr>
            </w:div>
            <w:div w:id="1943536536">
              <w:marLeft w:val="0"/>
              <w:marRight w:val="0"/>
              <w:marTop w:val="0"/>
              <w:marBottom w:val="160"/>
              <w:divBdr>
                <w:top w:val="none" w:sz="0" w:space="0" w:color="auto"/>
                <w:left w:val="none" w:sz="0" w:space="0" w:color="auto"/>
                <w:bottom w:val="none" w:sz="0" w:space="0" w:color="auto"/>
                <w:right w:val="none" w:sz="0" w:space="0" w:color="auto"/>
              </w:divBdr>
            </w:div>
            <w:div w:id="1540170483">
              <w:marLeft w:val="0"/>
              <w:marRight w:val="0"/>
              <w:marTop w:val="0"/>
              <w:marBottom w:val="160"/>
              <w:divBdr>
                <w:top w:val="none" w:sz="0" w:space="0" w:color="auto"/>
                <w:left w:val="none" w:sz="0" w:space="0" w:color="auto"/>
                <w:bottom w:val="none" w:sz="0" w:space="0" w:color="auto"/>
                <w:right w:val="none" w:sz="0" w:space="0" w:color="auto"/>
              </w:divBdr>
            </w:div>
            <w:div w:id="1517572205">
              <w:marLeft w:val="0"/>
              <w:marRight w:val="0"/>
              <w:marTop w:val="0"/>
              <w:marBottom w:val="160"/>
              <w:divBdr>
                <w:top w:val="none" w:sz="0" w:space="0" w:color="auto"/>
                <w:left w:val="none" w:sz="0" w:space="0" w:color="auto"/>
                <w:bottom w:val="none" w:sz="0" w:space="0" w:color="auto"/>
                <w:right w:val="none" w:sz="0" w:space="0" w:color="auto"/>
              </w:divBdr>
            </w:div>
            <w:div w:id="113713865">
              <w:marLeft w:val="0"/>
              <w:marRight w:val="0"/>
              <w:marTop w:val="0"/>
              <w:marBottom w:val="160"/>
              <w:divBdr>
                <w:top w:val="none" w:sz="0" w:space="0" w:color="auto"/>
                <w:left w:val="none" w:sz="0" w:space="0" w:color="auto"/>
                <w:bottom w:val="none" w:sz="0" w:space="0" w:color="auto"/>
                <w:right w:val="none" w:sz="0" w:space="0" w:color="auto"/>
              </w:divBdr>
            </w:div>
          </w:divsChild>
        </w:div>
        <w:div w:id="1687561995">
          <w:marLeft w:val="0"/>
          <w:marRight w:val="0"/>
          <w:marTop w:val="0"/>
          <w:marBottom w:val="160"/>
          <w:divBdr>
            <w:top w:val="none" w:sz="0" w:space="0" w:color="auto"/>
            <w:left w:val="none" w:sz="0" w:space="0" w:color="auto"/>
            <w:bottom w:val="none" w:sz="0" w:space="0" w:color="auto"/>
            <w:right w:val="none" w:sz="0" w:space="0" w:color="auto"/>
          </w:divBdr>
        </w:div>
        <w:div w:id="1637029049">
          <w:marLeft w:val="0"/>
          <w:marRight w:val="0"/>
          <w:marTop w:val="0"/>
          <w:marBottom w:val="160"/>
          <w:divBdr>
            <w:top w:val="none" w:sz="0" w:space="0" w:color="auto"/>
            <w:left w:val="none" w:sz="0" w:space="0" w:color="auto"/>
            <w:bottom w:val="none" w:sz="0" w:space="0" w:color="auto"/>
            <w:right w:val="none" w:sz="0" w:space="0" w:color="auto"/>
          </w:divBdr>
        </w:div>
        <w:div w:id="477504014">
          <w:marLeft w:val="0"/>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724</Words>
  <Characters>3985</Characters>
  <Application>Microsoft Office Word</Application>
  <DocSecurity>0</DocSecurity>
  <Lines>33</Lines>
  <Paragraphs>9</Paragraphs>
  <ScaleCrop>false</ScaleCrop>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Viviana Mariel Sanabria Vazquez</dc:creator>
  <cp:keywords/>
  <dc:description/>
  <cp:lastModifiedBy>Viviana Mariel Sanabria Vazquez</cp:lastModifiedBy>
  <cp:revision>2</cp:revision>
  <dcterms:created xsi:type="dcterms:W3CDTF">2024-08-17T20:49:00Z</dcterms:created>
  <dcterms:modified xsi:type="dcterms:W3CDTF">2024-08-17T20:49:00Z</dcterms:modified>
</cp:coreProperties>
</file>