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64FD2" w14:textId="55DDE549" w:rsidR="00920FEF" w:rsidRDefault="00920FEF" w:rsidP="00920FEF">
      <w:pPr>
        <w:shd w:val="clear" w:color="auto" w:fill="002060"/>
        <w:jc w:val="both"/>
        <w:rPr>
          <w:b/>
        </w:rPr>
      </w:pPr>
      <w:r>
        <w:rPr>
          <w:b/>
        </w:rPr>
        <w:t>Artículo 25.- Exoneraciones</w:t>
      </w:r>
      <w:r w:rsidR="007719E7">
        <w:rPr>
          <w:b/>
        </w:rPr>
        <w:t xml:space="preserve"> - IRE</w:t>
      </w:r>
    </w:p>
    <w:p w14:paraId="0900E7C3" w14:textId="77777777" w:rsidR="00920FEF" w:rsidRDefault="00920FEF" w:rsidP="00920FEF">
      <w:pPr>
        <w:jc w:val="both"/>
      </w:pPr>
      <w:r>
        <w:t>1. Estarán exoneradas las siguientes rentas provenientes de:</w:t>
      </w:r>
    </w:p>
    <w:p w14:paraId="4537CBA5" w14:textId="2AEFB64A" w:rsidR="00920FEF" w:rsidRDefault="00920FEF" w:rsidP="00920FEF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  <w:r w:rsidRPr="00E11955">
        <w:rPr>
          <w:color w:val="000000"/>
        </w:rPr>
        <w:t xml:space="preserve">Los servicios de enseñanza </w:t>
      </w:r>
      <w:r w:rsidRPr="00E11955">
        <w:rPr>
          <w:b/>
          <w:bCs/>
          <w:color w:val="000000"/>
        </w:rPr>
        <w:t>inicial y</w:t>
      </w:r>
      <w:r w:rsidRPr="00E11955">
        <w:rPr>
          <w:color w:val="000000"/>
        </w:rPr>
        <w:t xml:space="preserve"> </w:t>
      </w:r>
      <w:r w:rsidRPr="00E11955">
        <w:rPr>
          <w:b/>
          <w:bCs/>
          <w:color w:val="000000"/>
        </w:rPr>
        <w:t>preescolar, básica, media</w:t>
      </w:r>
      <w:r w:rsidRPr="00E11955">
        <w:rPr>
          <w:color w:val="000000"/>
        </w:rPr>
        <w:t xml:space="preserve">, </w:t>
      </w:r>
      <w:r w:rsidRPr="00E11955">
        <w:rPr>
          <w:color w:val="000000"/>
          <w:highlight w:val="cyan"/>
        </w:rPr>
        <w:t xml:space="preserve">técnica, </w:t>
      </w:r>
      <w:r w:rsidRPr="00A55A0B">
        <w:rPr>
          <w:b/>
          <w:bCs/>
          <w:color w:val="000000"/>
          <w:u w:val="single"/>
        </w:rPr>
        <w:t>terciaria</w:t>
      </w:r>
      <w:r w:rsidRPr="00992EF1">
        <w:rPr>
          <w:b/>
          <w:bCs/>
          <w:color w:val="000000"/>
          <w:u w:val="single"/>
        </w:rPr>
        <w:t>,</w:t>
      </w:r>
      <w:r w:rsidRPr="00E11955">
        <w:rPr>
          <w:color w:val="000000"/>
        </w:rPr>
        <w:t xml:space="preserve"> universitaria y de educación superior, prestados por personas o entidades reconocidas por el Ministerio de Educación y Ciencias o por ley.</w:t>
      </w:r>
    </w:p>
    <w:p w14:paraId="4930F865" w14:textId="7CD56A8F" w:rsidR="00CD5EA7" w:rsidRDefault="00CD5EA7" w:rsidP="00CD5EA7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</w:p>
    <w:p w14:paraId="23C4042A" w14:textId="77777777" w:rsidR="00CD5EA7" w:rsidRDefault="00CD5EA7" w:rsidP="00CD5EA7">
      <w:pPr>
        <w:shd w:val="clear" w:color="auto" w:fill="BDD7EE"/>
        <w:jc w:val="both"/>
        <w:rPr>
          <w:b/>
        </w:rPr>
      </w:pPr>
      <w:bookmarkStart w:id="0" w:name="_Hlk90836548"/>
      <w:r>
        <w:rPr>
          <w:b/>
        </w:rPr>
        <w:t>Artículo 100. Exoneraciones.</w:t>
      </w:r>
    </w:p>
    <w:bookmarkEnd w:id="0"/>
    <w:p w14:paraId="6B66EEA2" w14:textId="77777777" w:rsidR="00CD5EA7" w:rsidRPr="0051305C" w:rsidRDefault="00CD5EA7" w:rsidP="00CD5EA7">
      <w:pPr>
        <w:jc w:val="both"/>
        <w:rPr>
          <w:b/>
          <w:u w:val="double"/>
        </w:rPr>
      </w:pPr>
      <w:r w:rsidRPr="0051305C">
        <w:rPr>
          <w:b/>
          <w:u w:val="double"/>
        </w:rPr>
        <w:t>3. Las siguientes prestaciones de servicios:</w:t>
      </w:r>
    </w:p>
    <w:p w14:paraId="4B01B855" w14:textId="77777777" w:rsidR="00CD5EA7" w:rsidRDefault="00CD5EA7" w:rsidP="00CD5EA7">
      <w:pPr>
        <w:jc w:val="both"/>
      </w:pPr>
      <w:r w:rsidRPr="009167E0">
        <w:rPr>
          <w:highlight w:val="yellow"/>
        </w:rPr>
        <w:t xml:space="preserve">f) Los servicios de </w:t>
      </w:r>
      <w:r w:rsidRPr="009A5D70">
        <w:rPr>
          <w:b/>
          <w:bCs/>
          <w:color w:val="FF0000"/>
          <w:highlight w:val="yellow"/>
          <w:u w:val="single"/>
        </w:rPr>
        <w:t xml:space="preserve">enseñanza inicial y preescolar, básica, </w:t>
      </w:r>
      <w:r w:rsidRPr="00CB40CC">
        <w:rPr>
          <w:b/>
          <w:bCs/>
          <w:color w:val="000000" w:themeColor="text1"/>
          <w:highlight w:val="yellow"/>
          <w:u w:val="double"/>
        </w:rPr>
        <w:t>media</w:t>
      </w:r>
      <w:r w:rsidRPr="009A5D70">
        <w:rPr>
          <w:b/>
          <w:bCs/>
          <w:color w:val="FF0000"/>
          <w:highlight w:val="yellow"/>
          <w:u w:val="single"/>
        </w:rPr>
        <w:t>, técnica, terciaria, universitaria y de educación superior, prestados por personas o entidades reconocidas por el Ministerio de Educación y Ciencias o por ley</w:t>
      </w:r>
      <w:r w:rsidRPr="009167E0">
        <w:rPr>
          <w:highlight w:val="yellow"/>
        </w:rPr>
        <w:t>. Incluidos los servicios que, por extensión o práctica universitaria, deban realizarse con terceros.</w:t>
      </w:r>
    </w:p>
    <w:p w14:paraId="2265E5BD" w14:textId="77777777" w:rsidR="00CD5EA7" w:rsidRPr="00CD5EA7" w:rsidRDefault="00CD5EA7" w:rsidP="00CD5EA7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</w:p>
    <w:p w14:paraId="0CC850AC" w14:textId="77777777" w:rsidR="00920FEF" w:rsidRDefault="00920FEF">
      <w:pPr>
        <w:rPr>
          <w:rFonts w:ascii="Arial" w:hAnsi="Arial" w:cs="Arial"/>
          <w:color w:val="202124"/>
          <w:shd w:val="clear" w:color="auto" w:fill="FFFFFF"/>
        </w:rPr>
      </w:pPr>
    </w:p>
    <w:p w14:paraId="49E2D674" w14:textId="77777777" w:rsidR="00992EF1" w:rsidRPr="00992EF1" w:rsidRDefault="00992EF1" w:rsidP="00992EF1">
      <w:pPr>
        <w:shd w:val="clear" w:color="auto" w:fill="FFFFFF"/>
        <w:spacing w:line="240" w:lineRule="auto"/>
        <w:rPr>
          <w:rFonts w:ascii="Arial" w:eastAsia="Times New Roman" w:hAnsi="Arial" w:cs="Arial"/>
          <w:color w:val="202124"/>
          <w:sz w:val="24"/>
          <w:szCs w:val="24"/>
          <w:lang w:eastAsia="es-PY"/>
        </w:rPr>
      </w:pPr>
      <w:r w:rsidRPr="00992EF1">
        <w:rPr>
          <w:rFonts w:ascii="Arial" w:eastAsia="Times New Roman" w:hAnsi="Arial" w:cs="Arial"/>
          <w:color w:val="202124"/>
          <w:sz w:val="24"/>
          <w:szCs w:val="24"/>
          <w:lang w:eastAsia="es-PY"/>
        </w:rPr>
        <w:t>¿Cómo está organizado el sistema educativo paraguayo?</w:t>
      </w:r>
    </w:p>
    <w:p w14:paraId="1E49F017" w14:textId="77777777" w:rsidR="00992EF1" w:rsidRPr="00992EF1" w:rsidRDefault="00992EF1" w:rsidP="00992E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02124"/>
          <w:sz w:val="27"/>
          <w:szCs w:val="27"/>
          <w:lang w:eastAsia="es-PY"/>
        </w:rPr>
      </w:pPr>
      <w:r w:rsidRPr="00992EF1">
        <w:rPr>
          <w:rFonts w:ascii="Arial" w:eastAsia="Times New Roman" w:hAnsi="Arial" w:cs="Arial"/>
          <w:color w:val="202124"/>
          <w:sz w:val="24"/>
          <w:szCs w:val="24"/>
          <w:lang w:val="es-ES" w:eastAsia="es-PY"/>
        </w:rPr>
        <w:t xml:space="preserve">La educación de régimen general se estructura en </w:t>
      </w:r>
      <w:r w:rsidRPr="00992EF1">
        <w:rPr>
          <w:rFonts w:ascii="Arial" w:eastAsia="Times New Roman" w:hAnsi="Arial" w:cs="Arial"/>
          <w:b/>
          <w:bCs/>
          <w:color w:val="202124"/>
          <w:sz w:val="24"/>
          <w:szCs w:val="24"/>
          <w:lang w:val="es-ES" w:eastAsia="es-PY"/>
        </w:rPr>
        <w:t>tres niveles:</w:t>
      </w:r>
      <w:r w:rsidRPr="00992EF1">
        <w:rPr>
          <w:rFonts w:ascii="Arial" w:eastAsia="Times New Roman" w:hAnsi="Arial" w:cs="Arial"/>
          <w:color w:val="202124"/>
          <w:sz w:val="24"/>
          <w:szCs w:val="24"/>
          <w:lang w:val="es-ES" w:eastAsia="es-PY"/>
        </w:rPr>
        <w:t xml:space="preserve"> el </w:t>
      </w:r>
      <w:r w:rsidRPr="00992EF1">
        <w:rPr>
          <w:rFonts w:ascii="Arial" w:eastAsia="Times New Roman" w:hAnsi="Arial" w:cs="Arial"/>
          <w:b/>
          <w:bCs/>
          <w:color w:val="202124"/>
          <w:sz w:val="24"/>
          <w:szCs w:val="24"/>
          <w:lang w:val="es-ES" w:eastAsia="es-PY"/>
        </w:rPr>
        <w:t>primer nivel</w:t>
      </w:r>
      <w:r w:rsidRPr="00992EF1">
        <w:rPr>
          <w:rFonts w:ascii="Arial" w:eastAsia="Times New Roman" w:hAnsi="Arial" w:cs="Arial"/>
          <w:color w:val="202124"/>
          <w:sz w:val="24"/>
          <w:szCs w:val="24"/>
          <w:lang w:val="es-ES" w:eastAsia="es-PY"/>
        </w:rPr>
        <w:t xml:space="preserve"> de educación comprende la </w:t>
      </w:r>
      <w:r w:rsidRPr="00992EF1">
        <w:rPr>
          <w:rFonts w:ascii="Arial" w:eastAsia="Times New Roman" w:hAnsi="Arial" w:cs="Arial"/>
          <w:b/>
          <w:bCs/>
          <w:color w:val="202124"/>
          <w:sz w:val="24"/>
          <w:szCs w:val="24"/>
          <w:u w:val="single"/>
          <w:lang w:val="es-ES" w:eastAsia="es-PY"/>
        </w:rPr>
        <w:t>Educación Inicial y la Educación Escolar Básica (EEB)</w:t>
      </w:r>
      <w:r w:rsidRPr="00992EF1">
        <w:rPr>
          <w:rFonts w:ascii="Arial" w:eastAsia="Times New Roman" w:hAnsi="Arial" w:cs="Arial"/>
          <w:color w:val="202124"/>
          <w:sz w:val="24"/>
          <w:szCs w:val="24"/>
          <w:lang w:val="es-ES" w:eastAsia="es-PY"/>
        </w:rPr>
        <w:t xml:space="preserve">. El </w:t>
      </w:r>
      <w:r w:rsidRPr="00992EF1">
        <w:rPr>
          <w:rFonts w:ascii="Arial" w:eastAsia="Times New Roman" w:hAnsi="Arial" w:cs="Arial"/>
          <w:b/>
          <w:bCs/>
          <w:color w:val="202124"/>
          <w:sz w:val="24"/>
          <w:szCs w:val="24"/>
          <w:lang w:val="es-ES" w:eastAsia="es-PY"/>
        </w:rPr>
        <w:t>segundo nivel</w:t>
      </w:r>
      <w:r w:rsidRPr="00992EF1">
        <w:rPr>
          <w:rFonts w:ascii="Arial" w:eastAsia="Times New Roman" w:hAnsi="Arial" w:cs="Arial"/>
          <w:color w:val="202124"/>
          <w:sz w:val="24"/>
          <w:szCs w:val="24"/>
          <w:lang w:val="es-ES" w:eastAsia="es-PY"/>
        </w:rPr>
        <w:t xml:space="preserve"> de educación comprende </w:t>
      </w:r>
      <w:r w:rsidRPr="00992EF1">
        <w:rPr>
          <w:rFonts w:ascii="Arial" w:eastAsia="Times New Roman" w:hAnsi="Arial" w:cs="Arial"/>
          <w:b/>
          <w:bCs/>
          <w:color w:val="202124"/>
          <w:sz w:val="24"/>
          <w:szCs w:val="24"/>
          <w:u w:val="single"/>
          <w:lang w:val="es-ES" w:eastAsia="es-PY"/>
        </w:rPr>
        <w:t>la Educación Media (EM).</w:t>
      </w:r>
      <w:r w:rsidRPr="00992EF1">
        <w:rPr>
          <w:rFonts w:ascii="Arial" w:eastAsia="Times New Roman" w:hAnsi="Arial" w:cs="Arial"/>
          <w:color w:val="202124"/>
          <w:sz w:val="24"/>
          <w:szCs w:val="24"/>
          <w:lang w:val="es-ES" w:eastAsia="es-PY"/>
        </w:rPr>
        <w:t xml:space="preserve"> El </w:t>
      </w:r>
      <w:r w:rsidRPr="00992EF1">
        <w:rPr>
          <w:rFonts w:ascii="Arial" w:eastAsia="Times New Roman" w:hAnsi="Arial" w:cs="Arial"/>
          <w:b/>
          <w:bCs/>
          <w:color w:val="202124"/>
          <w:sz w:val="24"/>
          <w:szCs w:val="24"/>
          <w:lang w:val="es-ES" w:eastAsia="es-PY"/>
        </w:rPr>
        <w:t>tercer nivel</w:t>
      </w:r>
      <w:r w:rsidRPr="00992EF1">
        <w:rPr>
          <w:rFonts w:ascii="Arial" w:eastAsia="Times New Roman" w:hAnsi="Arial" w:cs="Arial"/>
          <w:color w:val="202124"/>
          <w:sz w:val="24"/>
          <w:szCs w:val="24"/>
          <w:lang w:val="es-ES" w:eastAsia="es-PY"/>
        </w:rPr>
        <w:t xml:space="preserve"> de educación comprende la </w:t>
      </w:r>
      <w:r w:rsidRPr="00992EF1">
        <w:rPr>
          <w:rFonts w:ascii="Arial" w:eastAsia="Times New Roman" w:hAnsi="Arial" w:cs="Arial"/>
          <w:b/>
          <w:bCs/>
          <w:color w:val="202124"/>
          <w:sz w:val="24"/>
          <w:szCs w:val="24"/>
          <w:u w:val="single"/>
          <w:lang w:val="es-ES" w:eastAsia="es-PY"/>
        </w:rPr>
        <w:t>Educación Superior.</w:t>
      </w:r>
    </w:p>
    <w:p w14:paraId="4AF12E9B" w14:textId="77777777" w:rsidR="00920FEF" w:rsidRDefault="00920FEF">
      <w:pPr>
        <w:rPr>
          <w:rFonts w:ascii="Arial" w:hAnsi="Arial" w:cs="Arial"/>
          <w:color w:val="202124"/>
          <w:shd w:val="clear" w:color="auto" w:fill="FFFFFF"/>
        </w:rPr>
      </w:pPr>
    </w:p>
    <w:p w14:paraId="7A096897" w14:textId="08AA2E8C" w:rsidR="00920FEF" w:rsidRDefault="00920FEF">
      <w:pPr>
        <w:rPr>
          <w:rFonts w:ascii="Arial" w:hAnsi="Arial" w:cs="Arial"/>
          <w:color w:val="202124"/>
          <w:shd w:val="clear" w:color="auto" w:fill="FFFFFF"/>
        </w:rPr>
      </w:pPr>
      <w:r>
        <w:rPr>
          <w:rFonts w:ascii="Arial" w:hAnsi="Arial" w:cs="Arial"/>
          <w:color w:val="202124"/>
          <w:shd w:val="clear" w:color="auto" w:fill="FFFFFF"/>
        </w:rPr>
        <w:t xml:space="preserve">Paraguay cuenta con la Educación </w:t>
      </w:r>
      <w:r w:rsidRPr="007719E7">
        <w:rPr>
          <w:rFonts w:ascii="Arial" w:hAnsi="Arial" w:cs="Arial"/>
          <w:b/>
          <w:bCs/>
          <w:color w:val="202124"/>
          <w:u w:val="single"/>
          <w:shd w:val="clear" w:color="auto" w:fill="FFFFFF"/>
        </w:rPr>
        <w:t>Inicial</w:t>
      </w:r>
      <w:r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02124"/>
          <w:shd w:val="clear" w:color="auto" w:fill="FFFFFF"/>
        </w:rPr>
        <w:t>Pre-escolar</w:t>
      </w:r>
      <w:proofErr w:type="spellEnd"/>
      <w:r>
        <w:rPr>
          <w:rFonts w:ascii="Arial" w:hAnsi="Arial" w:cs="Arial"/>
          <w:color w:val="202124"/>
          <w:shd w:val="clear" w:color="auto" w:fill="FFFFFF"/>
        </w:rPr>
        <w:t xml:space="preserve">, para los niños de hasta seis años, luego la Educación Escolar </w:t>
      </w:r>
      <w:r w:rsidRPr="007719E7">
        <w:rPr>
          <w:rFonts w:ascii="Arial" w:hAnsi="Arial" w:cs="Arial"/>
          <w:b/>
          <w:bCs/>
          <w:color w:val="202124"/>
          <w:u w:val="single"/>
          <w:shd w:val="clear" w:color="auto" w:fill="FFFFFF"/>
        </w:rPr>
        <w:t xml:space="preserve">Básica </w:t>
      </w:r>
      <w:r>
        <w:rPr>
          <w:rFonts w:ascii="Arial" w:hAnsi="Arial" w:cs="Arial"/>
          <w:color w:val="202124"/>
          <w:shd w:val="clear" w:color="auto" w:fill="FFFFFF"/>
        </w:rPr>
        <w:t xml:space="preserve">o Primaria, que es obligatoria y dura nueve años (1º al 9º grado), y la Educación </w:t>
      </w:r>
      <w:r w:rsidRPr="007719E7">
        <w:rPr>
          <w:rFonts w:ascii="Arial" w:hAnsi="Arial" w:cs="Arial"/>
          <w:b/>
          <w:bCs/>
          <w:color w:val="202124"/>
          <w:u w:val="single"/>
          <w:shd w:val="clear" w:color="auto" w:fill="FFFFFF"/>
        </w:rPr>
        <w:t>Media</w:t>
      </w:r>
      <w:r>
        <w:rPr>
          <w:rFonts w:ascii="Arial" w:hAnsi="Arial" w:cs="Arial"/>
          <w:color w:val="202124"/>
          <w:shd w:val="clear" w:color="auto" w:fill="FFFFFF"/>
        </w:rPr>
        <w:t>, Secundaria o Bachillerato, que dura tres años (</w:t>
      </w:r>
      <w:r>
        <w:rPr>
          <w:rFonts w:ascii="Arial" w:hAnsi="Arial" w:cs="Arial"/>
          <w:b/>
          <w:bCs/>
          <w:color w:val="202124"/>
          <w:shd w:val="clear" w:color="auto" w:fill="FFFFFF"/>
        </w:rPr>
        <w:t>1º, 2º y 3º Año de la Media</w:t>
      </w:r>
      <w:r>
        <w:rPr>
          <w:rFonts w:ascii="Arial" w:hAnsi="Arial" w:cs="Arial"/>
          <w:color w:val="202124"/>
          <w:shd w:val="clear" w:color="auto" w:fill="FFFFFF"/>
        </w:rPr>
        <w:t>).</w:t>
      </w:r>
    </w:p>
    <w:p w14:paraId="03C87559" w14:textId="3C4A8B8F" w:rsidR="00992EF1" w:rsidRDefault="00992EF1">
      <w:pPr>
        <w:rPr>
          <w:rFonts w:ascii="Arial" w:hAnsi="Arial" w:cs="Arial"/>
          <w:color w:val="202124"/>
          <w:shd w:val="clear" w:color="auto" w:fill="FFFFFF"/>
        </w:rPr>
      </w:pPr>
    </w:p>
    <w:p w14:paraId="7FC3C1E0" w14:textId="77777777" w:rsidR="00992EF1" w:rsidRPr="00992EF1" w:rsidRDefault="00992EF1" w:rsidP="00992EF1">
      <w:pPr>
        <w:shd w:val="clear" w:color="auto" w:fill="FFFFFF"/>
        <w:spacing w:line="240" w:lineRule="auto"/>
        <w:rPr>
          <w:rFonts w:ascii="Arial" w:eastAsia="Times New Roman" w:hAnsi="Arial" w:cs="Arial"/>
          <w:color w:val="202124"/>
          <w:sz w:val="24"/>
          <w:szCs w:val="24"/>
          <w:lang w:eastAsia="es-PY"/>
        </w:rPr>
      </w:pPr>
      <w:r w:rsidRPr="00992EF1">
        <w:rPr>
          <w:rFonts w:ascii="Arial" w:eastAsia="Times New Roman" w:hAnsi="Arial" w:cs="Arial"/>
          <w:color w:val="202124"/>
          <w:sz w:val="24"/>
          <w:szCs w:val="24"/>
          <w:lang w:eastAsia="es-PY"/>
        </w:rPr>
        <w:t xml:space="preserve">¿Qué es educación </w:t>
      </w:r>
      <w:r w:rsidRPr="00992EF1">
        <w:rPr>
          <w:rFonts w:ascii="Arial" w:eastAsia="Times New Roman" w:hAnsi="Arial" w:cs="Arial"/>
          <w:b/>
          <w:bCs/>
          <w:color w:val="202124"/>
          <w:sz w:val="24"/>
          <w:szCs w:val="24"/>
          <w:u w:val="single"/>
          <w:lang w:eastAsia="es-PY"/>
        </w:rPr>
        <w:t xml:space="preserve">terciaria </w:t>
      </w:r>
      <w:r w:rsidRPr="00992EF1">
        <w:rPr>
          <w:rFonts w:ascii="Arial" w:eastAsia="Times New Roman" w:hAnsi="Arial" w:cs="Arial"/>
          <w:color w:val="202124"/>
          <w:sz w:val="24"/>
          <w:szCs w:val="24"/>
          <w:lang w:eastAsia="es-PY"/>
        </w:rPr>
        <w:t>en Paraguay?</w:t>
      </w:r>
    </w:p>
    <w:p w14:paraId="13F1AE21" w14:textId="77777777" w:rsidR="00992EF1" w:rsidRPr="00992EF1" w:rsidRDefault="00992EF1" w:rsidP="00992EF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02124"/>
          <w:sz w:val="27"/>
          <w:szCs w:val="27"/>
          <w:u w:val="single"/>
          <w:lang w:eastAsia="es-PY"/>
        </w:rPr>
      </w:pPr>
      <w:r w:rsidRPr="00992EF1">
        <w:rPr>
          <w:rFonts w:ascii="Arial" w:eastAsia="Times New Roman" w:hAnsi="Arial" w:cs="Arial"/>
          <w:color w:val="202124"/>
          <w:sz w:val="24"/>
          <w:szCs w:val="24"/>
          <w:lang w:val="es-ES" w:eastAsia="es-PY"/>
        </w:rPr>
        <w:t>- Son instituciones de </w:t>
      </w:r>
      <w:r w:rsidRPr="00992EF1">
        <w:rPr>
          <w:rFonts w:ascii="Arial" w:eastAsia="Times New Roman" w:hAnsi="Arial" w:cs="Arial"/>
          <w:b/>
          <w:bCs/>
          <w:color w:val="202124"/>
          <w:sz w:val="24"/>
          <w:szCs w:val="24"/>
          <w:lang w:val="es-ES" w:eastAsia="es-PY"/>
        </w:rPr>
        <w:t>educación</w:t>
      </w:r>
      <w:r w:rsidRPr="00992EF1">
        <w:rPr>
          <w:rFonts w:ascii="Arial" w:eastAsia="Times New Roman" w:hAnsi="Arial" w:cs="Arial"/>
          <w:color w:val="202124"/>
          <w:sz w:val="24"/>
          <w:szCs w:val="24"/>
          <w:lang w:val="es-ES" w:eastAsia="es-PY"/>
        </w:rPr>
        <w:t xml:space="preserve"> superior las universidades, </w:t>
      </w:r>
      <w:r w:rsidRPr="00992EF1">
        <w:rPr>
          <w:rFonts w:ascii="Arial" w:eastAsia="Times New Roman" w:hAnsi="Arial" w:cs="Arial"/>
          <w:b/>
          <w:bCs/>
          <w:color w:val="202124"/>
          <w:sz w:val="24"/>
          <w:szCs w:val="24"/>
          <w:lang w:val="es-ES" w:eastAsia="es-PY"/>
        </w:rPr>
        <w:t xml:space="preserve">los Institutos Superiores y los institutos de </w:t>
      </w:r>
      <w:r w:rsidRPr="00992EF1">
        <w:rPr>
          <w:rFonts w:ascii="Arial" w:eastAsia="Times New Roman" w:hAnsi="Arial" w:cs="Arial"/>
          <w:b/>
          <w:bCs/>
          <w:color w:val="202124"/>
          <w:sz w:val="24"/>
          <w:szCs w:val="24"/>
          <w:highlight w:val="cyan"/>
          <w:u w:val="single"/>
          <w:lang w:val="es-ES" w:eastAsia="es-PY"/>
        </w:rPr>
        <w:t>formación profesional del tercer nivel</w:t>
      </w:r>
      <w:r w:rsidRPr="00992EF1">
        <w:rPr>
          <w:rFonts w:ascii="Arial" w:eastAsia="Times New Roman" w:hAnsi="Arial" w:cs="Arial"/>
          <w:color w:val="202124"/>
          <w:sz w:val="24"/>
          <w:szCs w:val="24"/>
          <w:lang w:val="es-ES" w:eastAsia="es-PY"/>
        </w:rPr>
        <w:t xml:space="preserve">. Estos últimos comprenden los institutos de </w:t>
      </w:r>
      <w:r w:rsidRPr="00992EF1">
        <w:rPr>
          <w:rFonts w:ascii="Arial" w:eastAsia="Times New Roman" w:hAnsi="Arial" w:cs="Arial"/>
          <w:color w:val="202124"/>
          <w:sz w:val="24"/>
          <w:szCs w:val="24"/>
          <w:highlight w:val="cyan"/>
          <w:u w:val="single"/>
          <w:lang w:val="es-ES" w:eastAsia="es-PY"/>
        </w:rPr>
        <w:t>formación docente y los institutos técnicos profesionales.</w:t>
      </w:r>
    </w:p>
    <w:p w14:paraId="12D8B795" w14:textId="21F99383" w:rsidR="00992EF1" w:rsidRDefault="00992EF1">
      <w:pPr>
        <w:rPr>
          <w:rFonts w:ascii="Arial" w:hAnsi="Arial" w:cs="Arial"/>
          <w:color w:val="202124"/>
          <w:shd w:val="clear" w:color="auto" w:fill="FFFFFF"/>
        </w:rPr>
      </w:pPr>
    </w:p>
    <w:p w14:paraId="7E9CDF21" w14:textId="6328ED52" w:rsidR="00D75A97" w:rsidRDefault="00D75A97">
      <w:pPr>
        <w:rPr>
          <w:rFonts w:ascii="Arial" w:hAnsi="Arial" w:cs="Arial"/>
          <w:color w:val="202124"/>
          <w:shd w:val="clear" w:color="auto" w:fill="FFFFFF"/>
        </w:rPr>
      </w:pPr>
    </w:p>
    <w:p w14:paraId="2B2B3C0D" w14:textId="77777777" w:rsidR="00D75A97" w:rsidRDefault="00D75A97" w:rsidP="00D75A97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EDUCACIÓN SUPERIOR </w:t>
      </w:r>
    </w:p>
    <w:p w14:paraId="34255834" w14:textId="34AB7D5D" w:rsidR="00D75A97" w:rsidRPr="00D75A97" w:rsidRDefault="00D75A97" w:rsidP="00D75A97">
      <w:pPr>
        <w:rPr>
          <w:rFonts w:ascii="Arial" w:hAnsi="Arial" w:cs="Arial"/>
          <w:b/>
          <w:bCs/>
          <w:color w:val="202124"/>
          <w:shd w:val="clear" w:color="auto" w:fill="FFFFFF"/>
        </w:rPr>
      </w:pPr>
      <w:r>
        <w:rPr>
          <w:b/>
          <w:bCs/>
          <w:sz w:val="20"/>
          <w:szCs w:val="20"/>
        </w:rPr>
        <w:t>Artículo 47</w:t>
      </w:r>
      <w:r>
        <w:rPr>
          <w:sz w:val="20"/>
          <w:szCs w:val="20"/>
        </w:rPr>
        <w:t xml:space="preserve">.- La educación superior se ordenará por la ley de educación superior y se desarrollará a través de universidades e institutos superiores y otras instituciones de formación profesional </w:t>
      </w:r>
      <w:r w:rsidRPr="00D75A97">
        <w:rPr>
          <w:b/>
          <w:bCs/>
          <w:sz w:val="20"/>
          <w:szCs w:val="20"/>
        </w:rPr>
        <w:t>del tercer nivel.</w:t>
      </w:r>
    </w:p>
    <w:p w14:paraId="46F35C37" w14:textId="77777777" w:rsidR="00D75A97" w:rsidRDefault="00D75A97" w:rsidP="00D75A97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Artículo 48</w:t>
      </w:r>
      <w:r>
        <w:rPr>
          <w:sz w:val="20"/>
          <w:szCs w:val="20"/>
        </w:rPr>
        <w:t xml:space="preserve">.- Son universidades las instituciones de educación superior que abarcan una multiplicidad de áreas específicas del saber en el cumplimiento de su misión de investigación, enseñanza, formación y capacitación profesional y servicio a la comunidad. </w:t>
      </w:r>
    </w:p>
    <w:p w14:paraId="01258CAA" w14:textId="77777777" w:rsidR="00D75A97" w:rsidRDefault="00D75A97" w:rsidP="00D75A97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Artículo 49</w:t>
      </w:r>
      <w:r>
        <w:rPr>
          <w:sz w:val="20"/>
          <w:szCs w:val="20"/>
        </w:rPr>
        <w:t xml:space="preserve">.- Son institutos superiores, las instituciones que se desempeñan en un campo específico del saber en cumplimiento de su misión de investigación, formación profesional y servicio a la comunidad. </w:t>
      </w:r>
    </w:p>
    <w:p w14:paraId="189211B4" w14:textId="77777777" w:rsidR="00D75A97" w:rsidRDefault="00D75A97" w:rsidP="00D75A97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Artículo 50</w:t>
      </w:r>
      <w:r>
        <w:rPr>
          <w:sz w:val="20"/>
          <w:szCs w:val="20"/>
        </w:rPr>
        <w:t xml:space="preserve">.- </w:t>
      </w:r>
      <w:r w:rsidRPr="00CB40CC">
        <w:rPr>
          <w:sz w:val="20"/>
          <w:szCs w:val="20"/>
          <w:highlight w:val="yellow"/>
        </w:rPr>
        <w:t>Son Instituciones de formación profesional del tercer nivel</w:t>
      </w:r>
      <w:r>
        <w:rPr>
          <w:sz w:val="20"/>
          <w:szCs w:val="20"/>
        </w:rPr>
        <w:t xml:space="preserve">, aquellos institutos técnicos que brindan formación profesional y reconversión permanente en las diferentes áreas del saber técnico y práctico, habilitando para el ejercicio de una profesión. Serán autorizadas por el Ministerio de Educación y Cultura. </w:t>
      </w:r>
    </w:p>
    <w:p w14:paraId="36BDE5DB" w14:textId="77777777" w:rsidR="00D75A97" w:rsidRDefault="00D75A97" w:rsidP="00D75A97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El título de técnico superior permitirá el acceso al ejercicio de la profesión y a los estudios universitarios o a los proveídos por los institutos superiores, que se determinen, teniendo en cuenta las áreas de su formación académica. </w:t>
      </w:r>
    </w:p>
    <w:p w14:paraId="044F246C" w14:textId="2E27E222" w:rsidR="00920FEF" w:rsidRDefault="00D75A97" w:rsidP="00D75A97">
      <w:pPr>
        <w:rPr>
          <w:rFonts w:ascii="Arial" w:hAnsi="Arial" w:cs="Arial"/>
          <w:color w:val="202124"/>
          <w:shd w:val="clear" w:color="auto" w:fill="FFFFFF"/>
        </w:rPr>
      </w:pPr>
      <w:r>
        <w:rPr>
          <w:b/>
          <w:bCs/>
          <w:sz w:val="20"/>
          <w:szCs w:val="20"/>
        </w:rPr>
        <w:t>Artículo 51</w:t>
      </w:r>
      <w:r>
        <w:rPr>
          <w:sz w:val="20"/>
          <w:szCs w:val="20"/>
        </w:rPr>
        <w:t xml:space="preserve">.- Entre las instituciones de formación profesional del tercer nivel, el Ministerio de Educación y Cultura deberá priorizar los institutos de formación docente, que se ocuparán de la formación </w:t>
      </w:r>
      <w:proofErr w:type="gramStart"/>
      <w:r>
        <w:rPr>
          <w:sz w:val="20"/>
          <w:szCs w:val="20"/>
        </w:rPr>
        <w:t>para:.</w:t>
      </w:r>
      <w:proofErr w:type="gramEnd"/>
    </w:p>
    <w:p w14:paraId="6890854E" w14:textId="77777777" w:rsidR="00920FEF" w:rsidRDefault="00920FEF"/>
    <w:sectPr w:rsidR="00920FE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12EE4"/>
    <w:multiLevelType w:val="multilevel"/>
    <w:tmpl w:val="BC9429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55D2572"/>
    <w:multiLevelType w:val="hybridMultilevel"/>
    <w:tmpl w:val="AE16FE76"/>
    <w:lvl w:ilvl="0" w:tplc="3854779A">
      <w:start w:val="2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2520" w:hanging="360"/>
      </w:pPr>
    </w:lvl>
    <w:lvl w:ilvl="2" w:tplc="3C0A001B" w:tentative="1">
      <w:start w:val="1"/>
      <w:numFmt w:val="lowerRoman"/>
      <w:lvlText w:val="%3."/>
      <w:lvlJc w:val="right"/>
      <w:pPr>
        <w:ind w:left="3240" w:hanging="180"/>
      </w:pPr>
    </w:lvl>
    <w:lvl w:ilvl="3" w:tplc="3C0A000F" w:tentative="1">
      <w:start w:val="1"/>
      <w:numFmt w:val="decimal"/>
      <w:lvlText w:val="%4."/>
      <w:lvlJc w:val="left"/>
      <w:pPr>
        <w:ind w:left="3960" w:hanging="360"/>
      </w:pPr>
    </w:lvl>
    <w:lvl w:ilvl="4" w:tplc="3C0A0019" w:tentative="1">
      <w:start w:val="1"/>
      <w:numFmt w:val="lowerLetter"/>
      <w:lvlText w:val="%5."/>
      <w:lvlJc w:val="left"/>
      <w:pPr>
        <w:ind w:left="4680" w:hanging="360"/>
      </w:pPr>
    </w:lvl>
    <w:lvl w:ilvl="5" w:tplc="3C0A001B" w:tentative="1">
      <w:start w:val="1"/>
      <w:numFmt w:val="lowerRoman"/>
      <w:lvlText w:val="%6."/>
      <w:lvlJc w:val="right"/>
      <w:pPr>
        <w:ind w:left="5400" w:hanging="180"/>
      </w:pPr>
    </w:lvl>
    <w:lvl w:ilvl="6" w:tplc="3C0A000F" w:tentative="1">
      <w:start w:val="1"/>
      <w:numFmt w:val="decimal"/>
      <w:lvlText w:val="%7."/>
      <w:lvlJc w:val="left"/>
      <w:pPr>
        <w:ind w:left="6120" w:hanging="360"/>
      </w:pPr>
    </w:lvl>
    <w:lvl w:ilvl="7" w:tplc="3C0A0019" w:tentative="1">
      <w:start w:val="1"/>
      <w:numFmt w:val="lowerLetter"/>
      <w:lvlText w:val="%8."/>
      <w:lvlJc w:val="left"/>
      <w:pPr>
        <w:ind w:left="6840" w:hanging="360"/>
      </w:pPr>
    </w:lvl>
    <w:lvl w:ilvl="8" w:tplc="3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69386721"/>
    <w:multiLevelType w:val="multilevel"/>
    <w:tmpl w:val="39A60912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B3F72C9"/>
    <w:multiLevelType w:val="multilevel"/>
    <w:tmpl w:val="C1EE3C5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34781108">
    <w:abstractNumId w:val="0"/>
  </w:num>
  <w:num w:numId="2" w16cid:durableId="1333024729">
    <w:abstractNumId w:val="2"/>
  </w:num>
  <w:num w:numId="3" w16cid:durableId="1076126120">
    <w:abstractNumId w:val="3"/>
  </w:num>
  <w:num w:numId="4" w16cid:durableId="1513912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FEF"/>
    <w:rsid w:val="00333AC5"/>
    <w:rsid w:val="00561BE7"/>
    <w:rsid w:val="00627107"/>
    <w:rsid w:val="007719E7"/>
    <w:rsid w:val="00920FEF"/>
    <w:rsid w:val="00992EF1"/>
    <w:rsid w:val="00A55A0B"/>
    <w:rsid w:val="00B5562E"/>
    <w:rsid w:val="00CB40CC"/>
    <w:rsid w:val="00CD5EA7"/>
    <w:rsid w:val="00D75A97"/>
    <w:rsid w:val="00E11955"/>
    <w:rsid w:val="00EC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ACD5CF7"/>
  <w15:chartTrackingRefBased/>
  <w15:docId w15:val="{568963B4-B288-4B8B-857A-2A01F8EA6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EC064C"/>
    <w:pPr>
      <w:keepNext/>
      <w:keepLines/>
      <w:numPr>
        <w:numId w:val="2"/>
      </w:numPr>
      <w:shd w:val="clear" w:color="auto" w:fill="FFF2CC" w:themeFill="accent4" w:themeFillTint="33"/>
      <w:spacing w:before="80" w:after="0" w:line="240" w:lineRule="auto"/>
      <w:ind w:left="360" w:hanging="360"/>
      <w:contextualSpacing/>
      <w:outlineLvl w:val="1"/>
    </w:pPr>
    <w:rPr>
      <w:rFonts w:asciiTheme="majorHAnsi" w:eastAsiaTheme="majorEastAsia" w:hAnsiTheme="majorHAnsi" w:cstheme="majorBidi"/>
      <w:bCs/>
      <w:sz w:val="24"/>
      <w:szCs w:val="2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EC064C"/>
    <w:rPr>
      <w:rFonts w:asciiTheme="majorHAnsi" w:eastAsiaTheme="majorEastAsia" w:hAnsiTheme="majorHAnsi" w:cstheme="majorBidi"/>
      <w:bCs/>
      <w:sz w:val="24"/>
      <w:szCs w:val="28"/>
      <w:shd w:val="clear" w:color="auto" w:fill="FFF2CC" w:themeFill="accent4" w:themeFillTint="33"/>
      <w:lang w:val="es-ES"/>
    </w:rPr>
  </w:style>
  <w:style w:type="paragraph" w:customStyle="1" w:styleId="Estilo3">
    <w:name w:val="Estilo3"/>
    <w:basedOn w:val="Normal"/>
    <w:link w:val="Estilo3Car"/>
    <w:qFormat/>
    <w:rsid w:val="00B5562E"/>
    <w:pPr>
      <w:shd w:val="clear" w:color="auto" w:fill="002060"/>
      <w:spacing w:after="200" w:line="288" w:lineRule="auto"/>
      <w:jc w:val="right"/>
    </w:pPr>
    <w:rPr>
      <w:b/>
      <w:bCs/>
      <w:sz w:val="24"/>
      <w:szCs w:val="24"/>
    </w:rPr>
  </w:style>
  <w:style w:type="character" w:customStyle="1" w:styleId="Estilo3Car">
    <w:name w:val="Estilo3 Car"/>
    <w:basedOn w:val="Fuentedeprrafopredeter"/>
    <w:link w:val="Estilo3"/>
    <w:rsid w:val="00B5562E"/>
    <w:rPr>
      <w:b/>
      <w:bCs/>
      <w:sz w:val="24"/>
      <w:szCs w:val="24"/>
      <w:shd w:val="clear" w:color="auto" w:fill="002060"/>
    </w:rPr>
  </w:style>
  <w:style w:type="paragraph" w:styleId="Prrafodelista">
    <w:name w:val="List Paragraph"/>
    <w:basedOn w:val="Normal"/>
    <w:uiPriority w:val="34"/>
    <w:qFormat/>
    <w:rsid w:val="00920FEF"/>
    <w:pPr>
      <w:ind w:left="720"/>
      <w:contextualSpacing/>
    </w:pPr>
  </w:style>
  <w:style w:type="character" w:customStyle="1" w:styleId="hgkelc">
    <w:name w:val="hgkelc"/>
    <w:basedOn w:val="Fuentedeprrafopredeter"/>
    <w:rsid w:val="00992EF1"/>
  </w:style>
  <w:style w:type="paragraph" w:customStyle="1" w:styleId="Default">
    <w:name w:val="Default"/>
    <w:rsid w:val="00D75A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3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430989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10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4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56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52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223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1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840831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40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2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3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02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68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480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Viviana Mariel Sanabria Vazquez</dc:creator>
  <cp:keywords/>
  <dc:description/>
  <cp:lastModifiedBy>Viviana Mariel Sanabria Vazquez</cp:lastModifiedBy>
  <cp:revision>2</cp:revision>
  <dcterms:created xsi:type="dcterms:W3CDTF">2022-07-15T12:48:00Z</dcterms:created>
  <dcterms:modified xsi:type="dcterms:W3CDTF">2022-09-08T23:48:00Z</dcterms:modified>
</cp:coreProperties>
</file>